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4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4"/>
      </w:tblGrid>
      <w:tr w:rsidR="00C64BA4" w14:paraId="4996A94A" w14:textId="77777777" w:rsidTr="00C64BA4">
        <w:trPr>
          <w:trHeight w:val="4296"/>
        </w:trPr>
        <w:tc>
          <w:tcPr>
            <w:tcW w:w="9454" w:type="dxa"/>
          </w:tcPr>
          <w:p w14:paraId="7CED2283" w14:textId="1506F8C5" w:rsidR="00313F30" w:rsidRDefault="00313F30" w:rsidP="00C64BA4">
            <w:pPr>
              <w:jc w:val="center"/>
              <w:rPr>
                <w:b/>
                <w:bCs/>
                <w:color w:val="00B0F0"/>
                <w:sz w:val="28"/>
                <w:szCs w:val="28"/>
              </w:rPr>
            </w:pPr>
            <w:r>
              <w:rPr>
                <w:b/>
                <w:bCs/>
                <w:sz w:val="36"/>
                <w:szCs w:val="36"/>
              </w:rPr>
              <w:t>CTI</w:t>
            </w:r>
            <w:r w:rsidRPr="00C64BA4">
              <w:rPr>
                <w:b/>
                <w:bCs/>
                <w:sz w:val="36"/>
                <w:szCs w:val="36"/>
              </w:rPr>
              <w:t xml:space="preserve"> </w:t>
            </w:r>
            <w:r w:rsidR="00C64BA4" w:rsidRPr="00C64BA4">
              <w:rPr>
                <w:b/>
                <w:bCs/>
                <w:sz w:val="36"/>
                <w:szCs w:val="36"/>
              </w:rPr>
              <w:t>–</w:t>
            </w:r>
            <w:r>
              <w:rPr>
                <w:b/>
                <w:bCs/>
                <w:sz w:val="36"/>
                <w:szCs w:val="36"/>
              </w:rPr>
              <w:t xml:space="preserve"> Response to the r</w:t>
            </w:r>
            <w:r w:rsidRPr="00313F30">
              <w:rPr>
                <w:b/>
                <w:bCs/>
                <w:sz w:val="36"/>
                <w:szCs w:val="36"/>
              </w:rPr>
              <w:t>eview of the ban on the use of combustible materials in and on the external walls of buildings</w:t>
            </w:r>
          </w:p>
          <w:p w14:paraId="420C3D63" w14:textId="55536F99" w:rsidR="00C64BA4" w:rsidRPr="00C64BA4" w:rsidRDefault="00C64BA4" w:rsidP="00C64BA4">
            <w:pPr>
              <w:jc w:val="center"/>
              <w:rPr>
                <w:b/>
                <w:bCs/>
                <w:color w:val="00B0F0"/>
                <w:sz w:val="28"/>
                <w:szCs w:val="28"/>
              </w:rPr>
            </w:pPr>
            <w:r w:rsidRPr="00C64BA4">
              <w:rPr>
                <w:b/>
                <w:bCs/>
                <w:color w:val="00B0F0"/>
                <w:sz w:val="28"/>
                <w:szCs w:val="28"/>
              </w:rPr>
              <w:t>Proposed answers</w:t>
            </w:r>
            <w:r>
              <w:rPr>
                <w:b/>
                <w:bCs/>
                <w:color w:val="00B0F0"/>
                <w:sz w:val="28"/>
                <w:szCs w:val="28"/>
              </w:rPr>
              <w:t xml:space="preserve"> to consultation</w:t>
            </w:r>
          </w:p>
          <w:p w14:paraId="6A9BE3E4" w14:textId="47825BFB" w:rsidR="00C64BA4" w:rsidRPr="00C64BA4" w:rsidRDefault="00C64BA4" w:rsidP="00C64BA4">
            <w:pPr>
              <w:jc w:val="center"/>
              <w:rPr>
                <w:b/>
                <w:bCs/>
              </w:rPr>
            </w:pPr>
            <w:r w:rsidRPr="00C64BA4">
              <w:rPr>
                <w:b/>
                <w:bCs/>
              </w:rPr>
              <w:t>Prepared by: Confederation of Timber Industries</w:t>
            </w:r>
          </w:p>
          <w:p w14:paraId="7982955D" w14:textId="1112E316" w:rsidR="00C64BA4" w:rsidRPr="00C64BA4" w:rsidRDefault="00C64BA4" w:rsidP="00C64BA4">
            <w:pPr>
              <w:jc w:val="center"/>
              <w:rPr>
                <w:color w:val="FF0000"/>
              </w:rPr>
            </w:pPr>
            <w:r>
              <w:rPr>
                <w:color w:val="FF0000"/>
              </w:rPr>
              <w:t>We</w:t>
            </w:r>
            <w:r w:rsidRPr="00C64BA4">
              <w:rPr>
                <w:color w:val="FF0000"/>
              </w:rPr>
              <w:t xml:space="preserve"> have prepared the answers</w:t>
            </w:r>
            <w:r w:rsidR="0008471D">
              <w:rPr>
                <w:color w:val="FF0000"/>
              </w:rPr>
              <w:t xml:space="preserve"> below</w:t>
            </w:r>
            <w:r w:rsidRPr="00C64BA4">
              <w:rPr>
                <w:color w:val="FF0000"/>
              </w:rPr>
              <w:t xml:space="preserve"> to support the industry response</w:t>
            </w:r>
            <w:r>
              <w:rPr>
                <w:color w:val="FF0000"/>
              </w:rPr>
              <w:t xml:space="preserve">. </w:t>
            </w:r>
            <w:r w:rsidRPr="00C64BA4">
              <w:rPr>
                <w:color w:val="FF0000"/>
              </w:rPr>
              <w:t xml:space="preserve">Use </w:t>
            </w:r>
            <w:r w:rsidR="0008471D" w:rsidRPr="00C64BA4">
              <w:rPr>
                <w:color w:val="FF0000"/>
              </w:rPr>
              <w:t>th</w:t>
            </w:r>
            <w:r w:rsidR="0008471D">
              <w:rPr>
                <w:color w:val="FF0000"/>
              </w:rPr>
              <w:t>em</w:t>
            </w:r>
            <w:r w:rsidR="0008471D" w:rsidRPr="00C64BA4">
              <w:rPr>
                <w:color w:val="FF0000"/>
              </w:rPr>
              <w:t xml:space="preserve"> </w:t>
            </w:r>
            <w:r w:rsidRPr="00C64BA4">
              <w:rPr>
                <w:color w:val="FF0000"/>
              </w:rPr>
              <w:t>to help shape you</w:t>
            </w:r>
            <w:r>
              <w:rPr>
                <w:color w:val="FF0000"/>
              </w:rPr>
              <w:t>r</w:t>
            </w:r>
            <w:r w:rsidRPr="00C64BA4">
              <w:rPr>
                <w:color w:val="FF0000"/>
              </w:rPr>
              <w:t xml:space="preserve"> answers –</w:t>
            </w:r>
            <w:r>
              <w:rPr>
                <w:color w:val="FF0000"/>
              </w:rPr>
              <w:t xml:space="preserve"> and remember,</w:t>
            </w:r>
            <w:r w:rsidRPr="00C64BA4">
              <w:rPr>
                <w:color w:val="FF0000"/>
              </w:rPr>
              <w:t xml:space="preserve"> unique answers with similar themes will have the greatest impact.</w:t>
            </w:r>
          </w:p>
          <w:p w14:paraId="21A91470" w14:textId="77777777" w:rsidR="00C64BA4" w:rsidRPr="003F77B5" w:rsidRDefault="00C64BA4" w:rsidP="00C64BA4">
            <w:pPr>
              <w:pStyle w:val="ListParagraph"/>
              <w:numPr>
                <w:ilvl w:val="0"/>
                <w:numId w:val="1"/>
              </w:numPr>
              <w:jc w:val="center"/>
              <w:rPr>
                <w:color w:val="FF0000"/>
              </w:rPr>
            </w:pPr>
            <w:r w:rsidRPr="003F77B5">
              <w:rPr>
                <w:color w:val="FF0000"/>
              </w:rPr>
              <w:t>Amend or copy the answers below into the official response form.</w:t>
            </w:r>
          </w:p>
          <w:p w14:paraId="6E81C5B5" w14:textId="77777777" w:rsidR="00C64BA4" w:rsidRDefault="00C64BA4" w:rsidP="00C64BA4">
            <w:pPr>
              <w:pStyle w:val="ListParagraph"/>
              <w:numPr>
                <w:ilvl w:val="0"/>
                <w:numId w:val="1"/>
              </w:numPr>
              <w:jc w:val="center"/>
              <w:rPr>
                <w:color w:val="FF0000"/>
              </w:rPr>
            </w:pPr>
            <w:r w:rsidRPr="00C64BA4">
              <w:rPr>
                <w:color w:val="FF0000"/>
              </w:rPr>
              <w:t>Create a PDF of the document and rebrand it as your own by providing your individual company name and contact details.</w:t>
            </w:r>
            <w:bookmarkStart w:id="0" w:name="_GoBack"/>
            <w:bookmarkEnd w:id="0"/>
            <w:r w:rsidRPr="00C64BA4">
              <w:rPr>
                <w:color w:val="FF0000"/>
              </w:rPr>
              <w:t xml:space="preserve"> Send it to: </w:t>
            </w:r>
            <w:hyperlink r:id="rId10" w:history="1">
              <w:r w:rsidRPr="00DA2AB9">
                <w:rPr>
                  <w:rStyle w:val="Hyperlink"/>
                </w:rPr>
                <w:t>ADBconsultation@communities.gov.uk</w:t>
              </w:r>
            </w:hyperlink>
          </w:p>
          <w:p w14:paraId="0AFA90EE" w14:textId="4A0392C6" w:rsidR="00C64BA4" w:rsidRDefault="00C64BA4" w:rsidP="00C64BA4">
            <w:pPr>
              <w:jc w:val="center"/>
              <w:rPr>
                <w:b/>
                <w:bCs/>
                <w:sz w:val="28"/>
                <w:szCs w:val="28"/>
              </w:rPr>
            </w:pPr>
            <w:r w:rsidRPr="00C64BA4">
              <w:rPr>
                <w:b/>
                <w:bCs/>
                <w:color w:val="FF0000"/>
              </w:rPr>
              <w:t xml:space="preserve">Please note </w:t>
            </w:r>
            <w:hyperlink r:id="rId11" w:history="1">
              <w:r w:rsidRPr="00617652">
                <w:rPr>
                  <w:rStyle w:val="Hyperlink"/>
                  <w:b/>
                  <w:bCs/>
                </w:rPr>
                <w:t>th</w:t>
              </w:r>
              <w:r w:rsidR="00617652">
                <w:rPr>
                  <w:rStyle w:val="Hyperlink"/>
                  <w:b/>
                  <w:bCs/>
                </w:rPr>
                <w:t>is</w:t>
              </w:r>
              <w:r w:rsidRPr="00617652">
                <w:rPr>
                  <w:rStyle w:val="Hyperlink"/>
                  <w:b/>
                  <w:bCs/>
                </w:rPr>
                <w:t xml:space="preserve"> consultation</w:t>
              </w:r>
            </w:hyperlink>
            <w:r w:rsidRPr="00C64BA4">
              <w:rPr>
                <w:b/>
                <w:bCs/>
                <w:color w:val="FF0000"/>
              </w:rPr>
              <w:t xml:space="preserve"> closes at 11:45pm on 13 April 2020</w:t>
            </w:r>
          </w:p>
        </w:tc>
      </w:tr>
    </w:tbl>
    <w:p w14:paraId="4B4A1769" w14:textId="5D04FC08" w:rsidR="00F42D09" w:rsidRPr="00F42D09" w:rsidRDefault="000E23D1" w:rsidP="00F42D09">
      <w:pPr>
        <w:rPr>
          <w:color w:val="FF0000"/>
        </w:rPr>
      </w:pPr>
      <w:r>
        <w:pict w14:anchorId="2345AA5B">
          <v:rect id="_x0000_i1025" style="width:0;height:1.5pt" o:hralign="center" o:hrstd="t" o:hr="t" fillcolor="#a0a0a0" stroked="f"/>
        </w:pict>
      </w:r>
    </w:p>
    <w:p w14:paraId="42C53555" w14:textId="39261AFF" w:rsidR="003F77B5" w:rsidRPr="003F77B5" w:rsidRDefault="003F77B5" w:rsidP="003F77B5">
      <w:pPr>
        <w:rPr>
          <w:b/>
          <w:bCs/>
          <w:sz w:val="32"/>
          <w:szCs w:val="32"/>
        </w:rPr>
      </w:pPr>
      <w:r w:rsidRPr="003F77B5">
        <w:rPr>
          <w:b/>
          <w:bCs/>
          <w:sz w:val="32"/>
          <w:szCs w:val="32"/>
        </w:rPr>
        <w:t>Question 3</w:t>
      </w:r>
    </w:p>
    <w:p w14:paraId="05E68900" w14:textId="274C76A0" w:rsidR="003F77B5" w:rsidRPr="003F77B5" w:rsidRDefault="003F77B5" w:rsidP="003F77B5">
      <w:pPr>
        <w:rPr>
          <w:b/>
          <w:bCs/>
          <w:sz w:val="24"/>
          <w:szCs w:val="24"/>
        </w:rPr>
      </w:pPr>
      <w:r w:rsidRPr="003F77B5">
        <w:rPr>
          <w:b/>
          <w:bCs/>
          <w:sz w:val="24"/>
          <w:szCs w:val="24"/>
        </w:rPr>
        <w:t>Do you agree that hotels, hostels and boarding houses should be included in the definition of relevant buildings in Regulation 7(4)?</w:t>
      </w:r>
    </w:p>
    <w:p w14:paraId="3B6F8FA6" w14:textId="5D2E6134" w:rsidR="003F77B5" w:rsidRPr="003F77B5" w:rsidRDefault="003F77B5" w:rsidP="003F77B5">
      <w:pPr>
        <w:rPr>
          <w:b/>
          <w:bCs/>
          <w:sz w:val="24"/>
          <w:szCs w:val="24"/>
        </w:rPr>
      </w:pPr>
      <w:r w:rsidRPr="003F77B5">
        <w:rPr>
          <w:b/>
          <w:bCs/>
          <w:sz w:val="24"/>
          <w:szCs w:val="24"/>
        </w:rPr>
        <w:t>YES</w:t>
      </w:r>
    </w:p>
    <w:p w14:paraId="5753DFA1" w14:textId="01437CE7" w:rsidR="003F77B5" w:rsidRPr="003F77B5" w:rsidRDefault="003F77B5" w:rsidP="003F77B5">
      <w:pPr>
        <w:rPr>
          <w:b/>
          <w:bCs/>
          <w:sz w:val="24"/>
          <w:szCs w:val="24"/>
        </w:rPr>
      </w:pPr>
      <w:r w:rsidRPr="003F77B5">
        <w:rPr>
          <w:b/>
          <w:bCs/>
          <w:sz w:val="24"/>
          <w:szCs w:val="24"/>
          <w:highlight w:val="yellow"/>
        </w:rPr>
        <w:t>NO</w:t>
      </w:r>
    </w:p>
    <w:p w14:paraId="151B60B2" w14:textId="2C72AA61" w:rsidR="003F77B5" w:rsidRPr="003F77B5" w:rsidRDefault="003F77B5" w:rsidP="003F77B5">
      <w:pPr>
        <w:rPr>
          <w:b/>
          <w:bCs/>
          <w:sz w:val="24"/>
          <w:szCs w:val="24"/>
        </w:rPr>
      </w:pPr>
      <w:r w:rsidRPr="003F77B5">
        <w:rPr>
          <w:b/>
          <w:bCs/>
          <w:sz w:val="24"/>
          <w:szCs w:val="24"/>
        </w:rPr>
        <w:t>DON’T KNOW</w:t>
      </w:r>
    </w:p>
    <w:p w14:paraId="7A609E9A" w14:textId="6F0F91C9" w:rsidR="003F77B5" w:rsidRPr="003F77B5" w:rsidRDefault="003F77B5" w:rsidP="003F77B5">
      <w:pPr>
        <w:rPr>
          <w:sz w:val="24"/>
          <w:szCs w:val="24"/>
        </w:rPr>
      </w:pPr>
      <w:r>
        <w:rPr>
          <w:sz w:val="24"/>
          <w:szCs w:val="24"/>
        </w:rPr>
        <w:t>As an industry we advocate the use of</w:t>
      </w:r>
      <w:r w:rsidRPr="003F77B5">
        <w:rPr>
          <w:sz w:val="24"/>
          <w:szCs w:val="24"/>
        </w:rPr>
        <w:t xml:space="preserve"> independent, professional fire risk assessment</w:t>
      </w:r>
      <w:r>
        <w:rPr>
          <w:sz w:val="24"/>
          <w:szCs w:val="24"/>
        </w:rPr>
        <w:t>s</w:t>
      </w:r>
      <w:r w:rsidRPr="003F77B5">
        <w:rPr>
          <w:sz w:val="24"/>
          <w:szCs w:val="24"/>
        </w:rPr>
        <w:t xml:space="preserve"> that consider building design, use, materials and location</w:t>
      </w:r>
      <w:r>
        <w:rPr>
          <w:sz w:val="24"/>
          <w:szCs w:val="24"/>
        </w:rPr>
        <w:t>. These are</w:t>
      </w:r>
      <w:r w:rsidRPr="003F77B5">
        <w:rPr>
          <w:sz w:val="24"/>
          <w:szCs w:val="24"/>
        </w:rPr>
        <w:t xml:space="preserve"> essential at the design stage for multi-occupancy and assembly buildings</w:t>
      </w:r>
      <w:r w:rsidR="00C64BA4">
        <w:rPr>
          <w:sz w:val="24"/>
          <w:szCs w:val="24"/>
        </w:rPr>
        <w:t>,</w:t>
      </w:r>
      <w:r w:rsidRPr="003F77B5">
        <w:rPr>
          <w:sz w:val="24"/>
          <w:szCs w:val="24"/>
        </w:rPr>
        <w:t xml:space="preserve"> such as community centres and schools, even below 18 metr</w:t>
      </w:r>
      <w:r w:rsidR="00313F30">
        <w:rPr>
          <w:sz w:val="24"/>
          <w:szCs w:val="24"/>
        </w:rPr>
        <w:t>e</w:t>
      </w:r>
      <w:r w:rsidRPr="003F77B5">
        <w:rPr>
          <w:sz w:val="24"/>
          <w:szCs w:val="24"/>
        </w:rPr>
        <w:t>s in height.</w:t>
      </w:r>
    </w:p>
    <w:p w14:paraId="1C3AF17D" w14:textId="7CC15753" w:rsidR="003F77B5" w:rsidRPr="003F77B5" w:rsidRDefault="003F77B5" w:rsidP="003F77B5">
      <w:pPr>
        <w:rPr>
          <w:sz w:val="24"/>
          <w:szCs w:val="24"/>
        </w:rPr>
      </w:pPr>
      <w:r w:rsidRPr="003F77B5">
        <w:rPr>
          <w:sz w:val="24"/>
          <w:szCs w:val="24"/>
        </w:rPr>
        <w:t xml:space="preserve">Height is only one factor which influences fire performance, </w:t>
      </w:r>
      <w:r>
        <w:rPr>
          <w:sz w:val="24"/>
          <w:szCs w:val="24"/>
        </w:rPr>
        <w:t xml:space="preserve">fire </w:t>
      </w:r>
      <w:r w:rsidRPr="003F77B5">
        <w:rPr>
          <w:sz w:val="24"/>
          <w:szCs w:val="24"/>
        </w:rPr>
        <w:t>spread</w:t>
      </w:r>
      <w:r>
        <w:rPr>
          <w:sz w:val="24"/>
          <w:szCs w:val="24"/>
        </w:rPr>
        <w:t xml:space="preserve">, and </w:t>
      </w:r>
      <w:r w:rsidRPr="003F77B5">
        <w:rPr>
          <w:sz w:val="24"/>
          <w:szCs w:val="24"/>
        </w:rPr>
        <w:t xml:space="preserve">building safety. More important </w:t>
      </w:r>
      <w:r>
        <w:rPr>
          <w:sz w:val="24"/>
          <w:szCs w:val="24"/>
        </w:rPr>
        <w:t>is the overall</w:t>
      </w:r>
      <w:r w:rsidRPr="003F77B5">
        <w:rPr>
          <w:sz w:val="24"/>
          <w:szCs w:val="24"/>
        </w:rPr>
        <w:t xml:space="preserve"> fire design, such as </w:t>
      </w:r>
      <w:r>
        <w:rPr>
          <w:sz w:val="24"/>
          <w:szCs w:val="24"/>
        </w:rPr>
        <w:t>the use of</w:t>
      </w:r>
      <w:r w:rsidRPr="003F77B5">
        <w:rPr>
          <w:sz w:val="24"/>
          <w:szCs w:val="24"/>
        </w:rPr>
        <w:t xml:space="preserve"> cavity barriers and fire doors, whether sprinklers have been installed, and whether there are two stair wells to allow for safe evacuation and entry for fire fighters.</w:t>
      </w:r>
    </w:p>
    <w:p w14:paraId="45FF071B" w14:textId="0CE72DB7" w:rsidR="003F77B5" w:rsidRDefault="003F77B5" w:rsidP="003F77B5">
      <w:pPr>
        <w:rPr>
          <w:sz w:val="24"/>
          <w:szCs w:val="24"/>
        </w:rPr>
      </w:pPr>
      <w:r>
        <w:rPr>
          <w:sz w:val="24"/>
          <w:szCs w:val="24"/>
        </w:rPr>
        <w:t>While we</w:t>
      </w:r>
      <w:r w:rsidRPr="003F77B5">
        <w:rPr>
          <w:sz w:val="24"/>
          <w:szCs w:val="24"/>
        </w:rPr>
        <w:t xml:space="preserve"> believe buildings such as hotels, hostels and boarding houses have a higher risk profile</w:t>
      </w:r>
      <w:r>
        <w:rPr>
          <w:sz w:val="24"/>
          <w:szCs w:val="24"/>
        </w:rPr>
        <w:t xml:space="preserve"> which </w:t>
      </w:r>
      <w:r w:rsidR="00F42D09">
        <w:rPr>
          <w:sz w:val="24"/>
          <w:szCs w:val="24"/>
        </w:rPr>
        <w:t>sh</w:t>
      </w:r>
      <w:r>
        <w:rPr>
          <w:sz w:val="24"/>
          <w:szCs w:val="24"/>
        </w:rPr>
        <w:t xml:space="preserve">ould be </w:t>
      </w:r>
      <w:r w:rsidR="00F42D09">
        <w:rPr>
          <w:sz w:val="24"/>
          <w:szCs w:val="24"/>
        </w:rPr>
        <w:t>included in Regulation 7(4)</w:t>
      </w:r>
      <w:r>
        <w:rPr>
          <w:sz w:val="24"/>
          <w:szCs w:val="24"/>
        </w:rPr>
        <w:t>,</w:t>
      </w:r>
      <w:r w:rsidRPr="003F77B5">
        <w:rPr>
          <w:sz w:val="24"/>
          <w:szCs w:val="24"/>
        </w:rPr>
        <w:t xml:space="preserve"> as </w:t>
      </w:r>
      <w:r w:rsidR="00F42D09">
        <w:rPr>
          <w:sz w:val="24"/>
          <w:szCs w:val="24"/>
        </w:rPr>
        <w:t>the</w:t>
      </w:r>
      <w:r w:rsidRPr="003F77B5">
        <w:rPr>
          <w:sz w:val="24"/>
          <w:szCs w:val="24"/>
        </w:rPr>
        <w:t xml:space="preserve"> ban on combustible materials in load bearing elements is not consistent with a risk-based approach, </w:t>
      </w:r>
      <w:r>
        <w:rPr>
          <w:sz w:val="24"/>
          <w:szCs w:val="24"/>
        </w:rPr>
        <w:t>currently we are unable to support</w:t>
      </w:r>
      <w:r w:rsidRPr="003F77B5">
        <w:rPr>
          <w:sz w:val="24"/>
          <w:szCs w:val="24"/>
        </w:rPr>
        <w:t xml:space="preserve"> this amendment.</w:t>
      </w:r>
    </w:p>
    <w:p w14:paraId="6D0338B6" w14:textId="4C06E596" w:rsidR="00F42D09" w:rsidRPr="00F42D09" w:rsidRDefault="00F42D09" w:rsidP="003F77B5">
      <w:pPr>
        <w:rPr>
          <w:b/>
          <w:bCs/>
          <w:sz w:val="24"/>
          <w:szCs w:val="24"/>
        </w:rPr>
      </w:pPr>
      <w:r w:rsidRPr="00F42D09">
        <w:rPr>
          <w:b/>
          <w:bCs/>
          <w:sz w:val="24"/>
          <w:szCs w:val="24"/>
        </w:rPr>
        <w:t>Should</w:t>
      </w:r>
      <w:r w:rsidRPr="00F42D09">
        <w:rPr>
          <w:b/>
          <w:bCs/>
          <w:sz w:val="24"/>
          <w:szCs w:val="24"/>
        </w:rPr>
        <w:tab/>
        <w:t>any other building types be included within the scope of the ban?</w:t>
      </w:r>
    </w:p>
    <w:p w14:paraId="0CAC3644" w14:textId="77777777" w:rsidR="00F42D09" w:rsidRPr="003F77B5" w:rsidRDefault="00F42D09" w:rsidP="00F42D09">
      <w:pPr>
        <w:rPr>
          <w:b/>
          <w:bCs/>
          <w:sz w:val="24"/>
          <w:szCs w:val="24"/>
        </w:rPr>
      </w:pPr>
      <w:r w:rsidRPr="003F77B5">
        <w:rPr>
          <w:b/>
          <w:bCs/>
          <w:sz w:val="24"/>
          <w:szCs w:val="24"/>
        </w:rPr>
        <w:t>YES</w:t>
      </w:r>
    </w:p>
    <w:p w14:paraId="45AA95CF" w14:textId="77777777" w:rsidR="00F42D09" w:rsidRPr="003F77B5" w:rsidRDefault="00F42D09" w:rsidP="00F42D09">
      <w:pPr>
        <w:rPr>
          <w:b/>
          <w:bCs/>
          <w:sz w:val="24"/>
          <w:szCs w:val="24"/>
        </w:rPr>
      </w:pPr>
      <w:r w:rsidRPr="003F77B5">
        <w:rPr>
          <w:b/>
          <w:bCs/>
          <w:sz w:val="24"/>
          <w:szCs w:val="24"/>
          <w:highlight w:val="yellow"/>
        </w:rPr>
        <w:t>NO</w:t>
      </w:r>
    </w:p>
    <w:p w14:paraId="3C420E80" w14:textId="77777777" w:rsidR="00F42D09" w:rsidRPr="003F77B5" w:rsidRDefault="00F42D09" w:rsidP="00F42D09">
      <w:pPr>
        <w:rPr>
          <w:b/>
          <w:bCs/>
          <w:sz w:val="24"/>
          <w:szCs w:val="24"/>
        </w:rPr>
      </w:pPr>
      <w:r w:rsidRPr="003F77B5">
        <w:rPr>
          <w:b/>
          <w:bCs/>
          <w:sz w:val="24"/>
          <w:szCs w:val="24"/>
        </w:rPr>
        <w:lastRenderedPageBreak/>
        <w:t>DON’T KNOW</w:t>
      </w:r>
    </w:p>
    <w:p w14:paraId="7B9785C9" w14:textId="709958AA" w:rsidR="00F42D09" w:rsidRDefault="00F42D09" w:rsidP="00F42D09">
      <w:pPr>
        <w:rPr>
          <w:sz w:val="24"/>
          <w:szCs w:val="24"/>
        </w:rPr>
      </w:pPr>
      <w:r w:rsidRPr="00F42D09">
        <w:rPr>
          <w:sz w:val="24"/>
          <w:szCs w:val="24"/>
        </w:rPr>
        <w:t>As referred to in our above response, we believe that an independent, professional fire risk assessment is the best approach, and this should be performed on any building which has an elevated risk profile during the design stage.</w:t>
      </w:r>
    </w:p>
    <w:p w14:paraId="74AADA3F" w14:textId="24315138" w:rsidR="00F42D09" w:rsidRPr="003F77B5" w:rsidRDefault="00F42D09" w:rsidP="00F42D09">
      <w:pPr>
        <w:rPr>
          <w:b/>
          <w:bCs/>
          <w:sz w:val="32"/>
          <w:szCs w:val="32"/>
        </w:rPr>
      </w:pPr>
      <w:r w:rsidRPr="003F77B5">
        <w:rPr>
          <w:b/>
          <w:bCs/>
          <w:sz w:val="32"/>
          <w:szCs w:val="32"/>
        </w:rPr>
        <w:t xml:space="preserve">Question </w:t>
      </w:r>
      <w:r>
        <w:rPr>
          <w:b/>
          <w:bCs/>
          <w:sz w:val="32"/>
          <w:szCs w:val="32"/>
        </w:rPr>
        <w:t>4</w:t>
      </w:r>
    </w:p>
    <w:p w14:paraId="45EB7316" w14:textId="397E2F54" w:rsidR="00F42D09" w:rsidRDefault="00F42D09" w:rsidP="00F42D09">
      <w:pPr>
        <w:rPr>
          <w:b/>
          <w:bCs/>
          <w:sz w:val="24"/>
          <w:szCs w:val="24"/>
        </w:rPr>
      </w:pPr>
      <w:r w:rsidRPr="00F42D09">
        <w:rPr>
          <w:b/>
          <w:bCs/>
          <w:sz w:val="24"/>
          <w:szCs w:val="24"/>
        </w:rPr>
        <w:t>Do you agree that the height threshold of</w:t>
      </w:r>
      <w:r>
        <w:rPr>
          <w:b/>
          <w:bCs/>
          <w:sz w:val="24"/>
          <w:szCs w:val="24"/>
        </w:rPr>
        <w:t xml:space="preserve"> </w:t>
      </w:r>
      <w:r w:rsidRPr="00F42D09">
        <w:rPr>
          <w:b/>
          <w:bCs/>
          <w:sz w:val="24"/>
          <w:szCs w:val="24"/>
        </w:rPr>
        <w:t>the ban should be reduced to at least 11m and above?</w:t>
      </w:r>
    </w:p>
    <w:p w14:paraId="17A723C5" w14:textId="77777777" w:rsidR="00F42D09" w:rsidRPr="003F77B5" w:rsidRDefault="00F42D09" w:rsidP="00F42D09">
      <w:pPr>
        <w:rPr>
          <w:b/>
          <w:bCs/>
          <w:sz w:val="24"/>
          <w:szCs w:val="24"/>
        </w:rPr>
      </w:pPr>
      <w:r w:rsidRPr="003F77B5">
        <w:rPr>
          <w:b/>
          <w:bCs/>
          <w:sz w:val="24"/>
          <w:szCs w:val="24"/>
        </w:rPr>
        <w:t>YES</w:t>
      </w:r>
    </w:p>
    <w:p w14:paraId="02140780" w14:textId="77777777" w:rsidR="00F42D09" w:rsidRPr="003F77B5" w:rsidRDefault="00F42D09" w:rsidP="00F42D09">
      <w:pPr>
        <w:rPr>
          <w:b/>
          <w:bCs/>
          <w:sz w:val="24"/>
          <w:szCs w:val="24"/>
        </w:rPr>
      </w:pPr>
      <w:r w:rsidRPr="003F77B5">
        <w:rPr>
          <w:b/>
          <w:bCs/>
          <w:sz w:val="24"/>
          <w:szCs w:val="24"/>
          <w:highlight w:val="yellow"/>
        </w:rPr>
        <w:t>NO</w:t>
      </w:r>
    </w:p>
    <w:p w14:paraId="55705F30" w14:textId="77777777" w:rsidR="00F42D09" w:rsidRPr="003F77B5" w:rsidRDefault="00F42D09" w:rsidP="00F42D09">
      <w:pPr>
        <w:rPr>
          <w:b/>
          <w:bCs/>
          <w:sz w:val="24"/>
          <w:szCs w:val="24"/>
        </w:rPr>
      </w:pPr>
      <w:r w:rsidRPr="003F77B5">
        <w:rPr>
          <w:b/>
          <w:bCs/>
          <w:sz w:val="24"/>
          <w:szCs w:val="24"/>
        </w:rPr>
        <w:t>DON’T KNOW</w:t>
      </w:r>
    </w:p>
    <w:p w14:paraId="38EA82C2" w14:textId="695956B7" w:rsidR="00F42D09" w:rsidRDefault="00F42D09" w:rsidP="00F42D09">
      <w:pPr>
        <w:rPr>
          <w:b/>
          <w:bCs/>
          <w:sz w:val="24"/>
          <w:szCs w:val="24"/>
        </w:rPr>
      </w:pPr>
      <w:r w:rsidRPr="00F42D09">
        <w:rPr>
          <w:b/>
          <w:bCs/>
          <w:sz w:val="24"/>
          <w:szCs w:val="24"/>
        </w:rPr>
        <w:t>Is there another lower height threshold that should be considered? Please provide evidence.</w:t>
      </w:r>
    </w:p>
    <w:p w14:paraId="4B4ECD93" w14:textId="0BA98FEC" w:rsidR="00F42D09" w:rsidRPr="00F42D09" w:rsidRDefault="00F42D09" w:rsidP="00F42D09">
      <w:pPr>
        <w:rPr>
          <w:sz w:val="24"/>
          <w:szCs w:val="24"/>
        </w:rPr>
      </w:pPr>
      <w:r w:rsidRPr="00F42D09">
        <w:rPr>
          <w:sz w:val="24"/>
          <w:szCs w:val="24"/>
        </w:rPr>
        <w:t xml:space="preserve">No. </w:t>
      </w:r>
    </w:p>
    <w:p w14:paraId="78E71DDA" w14:textId="29570D64" w:rsidR="00F42D09" w:rsidRPr="00F42D09" w:rsidRDefault="00F42D09" w:rsidP="00F42D09">
      <w:pPr>
        <w:rPr>
          <w:sz w:val="24"/>
          <w:szCs w:val="24"/>
        </w:rPr>
      </w:pPr>
      <w:r w:rsidRPr="00F42D09">
        <w:rPr>
          <w:sz w:val="24"/>
          <w:szCs w:val="24"/>
        </w:rPr>
        <w:t>As we’ve previously outlined, height is not the greatest indication of fire risk, nor will it provide a complete indication of how a building will perform in a fire.</w:t>
      </w:r>
      <w:r>
        <w:rPr>
          <w:sz w:val="24"/>
          <w:szCs w:val="24"/>
        </w:rPr>
        <w:t xml:space="preserve"> </w:t>
      </w:r>
      <w:r w:rsidRPr="00F42D09">
        <w:rPr>
          <w:sz w:val="24"/>
          <w:szCs w:val="24"/>
        </w:rPr>
        <w:t>Having a proper fire-risk assessment during the design stage is far more important for identifying high-risk factors and introducing appropriate mitigation.</w:t>
      </w:r>
    </w:p>
    <w:p w14:paraId="7750D6B0" w14:textId="12AF67B3" w:rsidR="00F42D09" w:rsidRPr="00F42D09" w:rsidRDefault="00F42D09" w:rsidP="00F42D09">
      <w:pPr>
        <w:rPr>
          <w:sz w:val="24"/>
          <w:szCs w:val="24"/>
        </w:rPr>
      </w:pPr>
      <w:r w:rsidRPr="00F42D09">
        <w:rPr>
          <w:sz w:val="24"/>
          <w:szCs w:val="24"/>
        </w:rPr>
        <w:t>As noted within the consultation, the current ban is causing confusion and disruption to the construction industry through the arbitrary banning of safe, robust products.</w:t>
      </w:r>
      <w:r>
        <w:rPr>
          <w:sz w:val="24"/>
          <w:szCs w:val="24"/>
        </w:rPr>
        <w:t xml:space="preserve"> Instead</w:t>
      </w:r>
      <w:r w:rsidR="0008471D">
        <w:rPr>
          <w:sz w:val="24"/>
          <w:szCs w:val="24"/>
        </w:rPr>
        <w:t>,</w:t>
      </w:r>
      <w:r>
        <w:rPr>
          <w:sz w:val="24"/>
          <w:szCs w:val="24"/>
        </w:rPr>
        <w:t xml:space="preserve"> o</w:t>
      </w:r>
      <w:r w:rsidRPr="00F42D09">
        <w:rPr>
          <w:sz w:val="24"/>
          <w:szCs w:val="24"/>
        </w:rPr>
        <w:t>ur views are aligned with the Hack</w:t>
      </w:r>
      <w:r w:rsidR="004830C2">
        <w:rPr>
          <w:sz w:val="24"/>
          <w:szCs w:val="24"/>
        </w:rPr>
        <w:t>i</w:t>
      </w:r>
      <w:r w:rsidRPr="00F42D09">
        <w:rPr>
          <w:sz w:val="24"/>
          <w:szCs w:val="24"/>
        </w:rPr>
        <w:t>tt Review, which called for clarity on responsibilities and a performance</w:t>
      </w:r>
      <w:r w:rsidR="0008471D">
        <w:rPr>
          <w:sz w:val="24"/>
          <w:szCs w:val="24"/>
        </w:rPr>
        <w:t>-</w:t>
      </w:r>
      <w:r w:rsidRPr="00F42D09">
        <w:rPr>
          <w:sz w:val="24"/>
          <w:szCs w:val="24"/>
        </w:rPr>
        <w:t>based regulatory system</w:t>
      </w:r>
      <w:r w:rsidR="0008471D">
        <w:rPr>
          <w:sz w:val="24"/>
          <w:szCs w:val="24"/>
        </w:rPr>
        <w:t xml:space="preserve"> </w:t>
      </w:r>
      <w:r w:rsidR="0008471D" w:rsidRPr="00F42D09">
        <w:rPr>
          <w:sz w:val="24"/>
          <w:szCs w:val="24"/>
        </w:rPr>
        <w:t>rather than a ban</w:t>
      </w:r>
      <w:r w:rsidRPr="00F42D09">
        <w:rPr>
          <w:sz w:val="24"/>
          <w:szCs w:val="24"/>
        </w:rPr>
        <w:t>.</w:t>
      </w:r>
    </w:p>
    <w:p w14:paraId="56E774D1" w14:textId="6E2A097A" w:rsidR="00F42D09" w:rsidRDefault="00F42D09" w:rsidP="00F42D09">
      <w:pPr>
        <w:rPr>
          <w:sz w:val="24"/>
          <w:szCs w:val="24"/>
        </w:rPr>
      </w:pPr>
      <w:r w:rsidRPr="00F42D09">
        <w:rPr>
          <w:sz w:val="24"/>
          <w:szCs w:val="24"/>
        </w:rPr>
        <w:t xml:space="preserve">A ban violates the established principle of setting functional requirements for safety rather than specifying materials. Material requirements may lead to unsafe constructions made of approved materials </w:t>
      </w:r>
      <w:r w:rsidR="0008471D">
        <w:rPr>
          <w:sz w:val="24"/>
          <w:szCs w:val="24"/>
        </w:rPr>
        <w:t>being used in place of</w:t>
      </w:r>
      <w:r w:rsidRPr="00F42D09">
        <w:rPr>
          <w:sz w:val="24"/>
          <w:szCs w:val="24"/>
        </w:rPr>
        <w:t xml:space="preserve"> safer constructions.</w:t>
      </w:r>
    </w:p>
    <w:p w14:paraId="2360A763" w14:textId="1A309441" w:rsidR="00F42D09" w:rsidRDefault="00F42D09" w:rsidP="00F42D09">
      <w:pPr>
        <w:rPr>
          <w:sz w:val="24"/>
          <w:szCs w:val="24"/>
        </w:rPr>
      </w:pPr>
      <w:r w:rsidRPr="00F42D09">
        <w:rPr>
          <w:sz w:val="24"/>
          <w:szCs w:val="24"/>
        </w:rPr>
        <w:t>It will also lead to perverse outcomes, such as safer, more efficient and sustainable building designs, which make use of these materials, being discriminated against.</w:t>
      </w:r>
    </w:p>
    <w:p w14:paraId="54B4322A" w14:textId="5DBA8A26" w:rsidR="00C64BA4" w:rsidRDefault="00C64BA4" w:rsidP="00F42D09">
      <w:pPr>
        <w:rPr>
          <w:sz w:val="24"/>
          <w:szCs w:val="24"/>
        </w:rPr>
      </w:pPr>
      <w:r>
        <w:rPr>
          <w:sz w:val="24"/>
          <w:szCs w:val="24"/>
        </w:rPr>
        <w:t>Examples can be found in Cross-Laminated Timber (CLT) and closed timber frame</w:t>
      </w:r>
      <w:r w:rsidR="008600CE">
        <w:rPr>
          <w:sz w:val="24"/>
          <w:szCs w:val="24"/>
        </w:rPr>
        <w:t xml:space="preserve"> building techniques, where the material is </w:t>
      </w:r>
      <w:r>
        <w:rPr>
          <w:sz w:val="24"/>
          <w:szCs w:val="24"/>
        </w:rPr>
        <w:t xml:space="preserve">often encapsulated in </w:t>
      </w:r>
      <w:r w:rsidR="008600CE">
        <w:rPr>
          <w:sz w:val="24"/>
          <w:szCs w:val="24"/>
        </w:rPr>
        <w:t xml:space="preserve">other </w:t>
      </w:r>
      <w:r>
        <w:rPr>
          <w:sz w:val="24"/>
          <w:szCs w:val="24"/>
        </w:rPr>
        <w:t>construction</w:t>
      </w:r>
      <w:r w:rsidR="008600CE">
        <w:rPr>
          <w:sz w:val="24"/>
          <w:szCs w:val="24"/>
        </w:rPr>
        <w:t xml:space="preserve"> materials, such as plaster board and non-combustible materials, and </w:t>
      </w:r>
      <w:r w:rsidR="0008471D">
        <w:rPr>
          <w:sz w:val="24"/>
          <w:szCs w:val="24"/>
        </w:rPr>
        <w:t>where there is evidence to demonstrate they behave</w:t>
      </w:r>
      <w:r w:rsidR="008600CE">
        <w:rPr>
          <w:sz w:val="24"/>
          <w:szCs w:val="24"/>
        </w:rPr>
        <w:t xml:space="preserve"> very differently from other standard timber products.</w:t>
      </w:r>
      <w:r>
        <w:rPr>
          <w:sz w:val="24"/>
          <w:szCs w:val="24"/>
        </w:rPr>
        <w:t xml:space="preserve"> </w:t>
      </w:r>
    </w:p>
    <w:p w14:paraId="5AA14FF0" w14:textId="15942EE4" w:rsidR="00136993" w:rsidRPr="00136993" w:rsidRDefault="00136993" w:rsidP="00136993">
      <w:pPr>
        <w:rPr>
          <w:sz w:val="24"/>
          <w:szCs w:val="24"/>
        </w:rPr>
      </w:pPr>
      <w:r w:rsidRPr="00136993">
        <w:rPr>
          <w:sz w:val="24"/>
          <w:szCs w:val="24"/>
        </w:rPr>
        <w:t xml:space="preserve">Please consider the </w:t>
      </w:r>
      <w:r>
        <w:rPr>
          <w:sz w:val="24"/>
          <w:szCs w:val="24"/>
        </w:rPr>
        <w:t>evidence raised in</w:t>
      </w:r>
      <w:r w:rsidRPr="00136993">
        <w:rPr>
          <w:sz w:val="24"/>
          <w:szCs w:val="24"/>
        </w:rPr>
        <w:t xml:space="preserve"> the following publications</w:t>
      </w:r>
      <w:r>
        <w:rPr>
          <w:sz w:val="24"/>
          <w:szCs w:val="24"/>
        </w:rPr>
        <w:t xml:space="preserve">, </w:t>
      </w:r>
      <w:r w:rsidR="00766542">
        <w:rPr>
          <w:sz w:val="24"/>
          <w:szCs w:val="24"/>
        </w:rPr>
        <w:t xml:space="preserve">as </w:t>
      </w:r>
      <w:r>
        <w:rPr>
          <w:sz w:val="24"/>
          <w:szCs w:val="24"/>
        </w:rPr>
        <w:t xml:space="preserve">compiled by our colleagues </w:t>
      </w:r>
      <w:r w:rsidR="009C7A98">
        <w:rPr>
          <w:sz w:val="24"/>
          <w:szCs w:val="24"/>
        </w:rPr>
        <w:t>from</w:t>
      </w:r>
      <w:r>
        <w:rPr>
          <w:sz w:val="24"/>
          <w:szCs w:val="24"/>
        </w:rPr>
        <w:t xml:space="preserve"> the</w:t>
      </w:r>
      <w:r w:rsidR="009C7A98">
        <w:rPr>
          <w:sz w:val="24"/>
          <w:szCs w:val="24"/>
        </w:rPr>
        <w:t xml:space="preserve"> Association for</w:t>
      </w:r>
      <w:r>
        <w:rPr>
          <w:sz w:val="24"/>
          <w:szCs w:val="24"/>
        </w:rPr>
        <w:t xml:space="preserve"> Austrian </w:t>
      </w:r>
      <w:r w:rsidR="00766542">
        <w:rPr>
          <w:sz w:val="24"/>
          <w:szCs w:val="24"/>
        </w:rPr>
        <w:t>Wood Industries</w:t>
      </w:r>
      <w:r w:rsidRPr="00136993">
        <w:rPr>
          <w:sz w:val="24"/>
          <w:szCs w:val="24"/>
        </w:rPr>
        <w:t>:</w:t>
      </w:r>
    </w:p>
    <w:p w14:paraId="79849794" w14:textId="47A15B2A" w:rsidR="00136993" w:rsidRPr="009C7A98" w:rsidRDefault="00136993" w:rsidP="009C7A98">
      <w:pPr>
        <w:pStyle w:val="ListParagraph"/>
        <w:numPr>
          <w:ilvl w:val="0"/>
          <w:numId w:val="4"/>
        </w:numPr>
        <w:rPr>
          <w:sz w:val="24"/>
          <w:szCs w:val="24"/>
        </w:rPr>
      </w:pPr>
      <w:r w:rsidRPr="009C7A98">
        <w:rPr>
          <w:sz w:val="24"/>
          <w:szCs w:val="24"/>
        </w:rPr>
        <w:t>Östman, Birgit and Mikkola, Esko: Guidance on Fire Safety of Bio-Based Facades. COST Action FP1404 Fire safe use of bio-based building products. 2018 — DOI 10.3929/ethz-b-000319579,</w:t>
      </w:r>
    </w:p>
    <w:p w14:paraId="6EB81075" w14:textId="5DDF4F11" w:rsidR="00136993" w:rsidRPr="009C7A98" w:rsidRDefault="00136993" w:rsidP="009C7A98">
      <w:pPr>
        <w:pStyle w:val="ListParagraph"/>
        <w:numPr>
          <w:ilvl w:val="0"/>
          <w:numId w:val="4"/>
        </w:numPr>
        <w:rPr>
          <w:sz w:val="24"/>
          <w:szCs w:val="24"/>
        </w:rPr>
      </w:pPr>
      <w:r w:rsidRPr="009C7A98">
        <w:rPr>
          <w:sz w:val="24"/>
          <w:szCs w:val="24"/>
        </w:rPr>
        <w:lastRenderedPageBreak/>
        <w:t>Bois construction et propagation du feu par les façades. Centre Scientifique et Technique du Bâtiment CSTB, Marne-la-Vallée, 2018</w:t>
      </w:r>
    </w:p>
    <w:p w14:paraId="265C56E9" w14:textId="309298FC" w:rsidR="00136993" w:rsidRPr="009C7A98" w:rsidRDefault="00136993" w:rsidP="009C7A98">
      <w:pPr>
        <w:pStyle w:val="ListParagraph"/>
        <w:numPr>
          <w:ilvl w:val="0"/>
          <w:numId w:val="4"/>
        </w:numPr>
        <w:rPr>
          <w:sz w:val="24"/>
          <w:szCs w:val="24"/>
        </w:rPr>
      </w:pPr>
      <w:r w:rsidRPr="009C7A98">
        <w:rPr>
          <w:sz w:val="24"/>
          <w:szCs w:val="24"/>
        </w:rPr>
        <w:t>ÖNORM B 2332:2015 Fire resistant execution of facades of timber and of wood-based panels for building classes 4 and 5 ― Requirements and examples for execution</w:t>
      </w:r>
    </w:p>
    <w:p w14:paraId="3F7EEC9B" w14:textId="6F64AC82" w:rsidR="00136993" w:rsidRPr="009C7A98" w:rsidRDefault="00136993" w:rsidP="009C7A98">
      <w:pPr>
        <w:pStyle w:val="ListParagraph"/>
        <w:numPr>
          <w:ilvl w:val="0"/>
          <w:numId w:val="4"/>
        </w:numPr>
        <w:rPr>
          <w:sz w:val="24"/>
          <w:szCs w:val="24"/>
        </w:rPr>
      </w:pPr>
      <w:r w:rsidRPr="009C7A98">
        <w:rPr>
          <w:sz w:val="24"/>
          <w:szCs w:val="24"/>
        </w:rPr>
        <w:t>Gibbs, Eric and Su, Joseph Z.: Full scale exterior wall test on Nordic cross-laminated timber system. National Rsearch Council Canada 2015</w:t>
      </w:r>
    </w:p>
    <w:p w14:paraId="0347C67C" w14:textId="2BEB4B30" w:rsidR="00136993" w:rsidRPr="009C7A98" w:rsidRDefault="00136993" w:rsidP="009C7A98">
      <w:pPr>
        <w:pStyle w:val="ListParagraph"/>
        <w:numPr>
          <w:ilvl w:val="0"/>
          <w:numId w:val="4"/>
        </w:numPr>
        <w:rPr>
          <w:sz w:val="24"/>
          <w:szCs w:val="24"/>
        </w:rPr>
      </w:pPr>
      <w:r w:rsidRPr="009C7A98">
        <w:rPr>
          <w:sz w:val="24"/>
          <w:szCs w:val="24"/>
        </w:rPr>
        <w:t>Gibbs, Eric; Taber, B.\,C; Lougheed, G.D.; Su, Joseph Z.; Bénichou, N: Solutions for mid-rise wood construction: full-scale standard fire test for exterior wall assembly using a simulated cross-laminated timber wall assembly with interior fire-retardant-treated plywood sheathing test EXTW-4. National Rsearch Council Canada 2014</w:t>
      </w:r>
    </w:p>
    <w:p w14:paraId="422F250E" w14:textId="76C53851" w:rsidR="00136993" w:rsidRPr="009C7A98" w:rsidRDefault="00136993" w:rsidP="009C7A98">
      <w:pPr>
        <w:pStyle w:val="ListParagraph"/>
        <w:numPr>
          <w:ilvl w:val="0"/>
          <w:numId w:val="4"/>
        </w:numPr>
        <w:rPr>
          <w:sz w:val="24"/>
          <w:szCs w:val="24"/>
        </w:rPr>
      </w:pPr>
      <w:r w:rsidRPr="2E1CD322">
        <w:rPr>
          <w:sz w:val="24"/>
          <w:szCs w:val="24"/>
        </w:rPr>
        <w:t>Werner, Dieter; Danzinger, Kurt; Pöhn, Christian: Brandschutz von Holzfassaden. Der österreichische Brandschutzkatalog 2006</w:t>
      </w:r>
    </w:p>
    <w:p w14:paraId="086567A0" w14:textId="403BE93A" w:rsidR="00F42D09" w:rsidRPr="003F77B5" w:rsidRDefault="3FFB4777" w:rsidP="2E1CD322">
      <w:pPr>
        <w:rPr>
          <w:b/>
          <w:bCs/>
          <w:sz w:val="24"/>
          <w:szCs w:val="24"/>
          <w:highlight w:val="yellow"/>
        </w:rPr>
      </w:pPr>
      <w:r w:rsidRPr="3232DB38">
        <w:rPr>
          <w:rFonts w:ascii="Calibri" w:eastAsia="Calibri" w:hAnsi="Calibri" w:cs="Calibri"/>
          <w:b/>
          <w:bCs/>
          <w:sz w:val="24"/>
          <w:szCs w:val="24"/>
        </w:rPr>
        <w:t>Do you agree that an appropriate research project regarding building risk should be carried out to inform further review of the scope of the ban?</w:t>
      </w:r>
    </w:p>
    <w:p w14:paraId="464C716C" w14:textId="7ACBE5D7" w:rsidR="00F42D09" w:rsidRPr="003F77B5" w:rsidRDefault="00F42D09" w:rsidP="00F42D09">
      <w:pPr>
        <w:rPr>
          <w:b/>
          <w:bCs/>
          <w:sz w:val="24"/>
          <w:szCs w:val="24"/>
        </w:rPr>
      </w:pPr>
      <w:r w:rsidRPr="2E1CD322">
        <w:rPr>
          <w:b/>
          <w:bCs/>
          <w:sz w:val="24"/>
          <w:szCs w:val="24"/>
          <w:highlight w:val="yellow"/>
        </w:rPr>
        <w:t>YES</w:t>
      </w:r>
    </w:p>
    <w:p w14:paraId="7DA82069" w14:textId="77777777" w:rsidR="00F42D09" w:rsidRPr="003F77B5" w:rsidRDefault="00F42D09" w:rsidP="00F42D09">
      <w:pPr>
        <w:rPr>
          <w:b/>
          <w:bCs/>
          <w:sz w:val="24"/>
          <w:szCs w:val="24"/>
        </w:rPr>
      </w:pPr>
      <w:r w:rsidRPr="00F42D09">
        <w:rPr>
          <w:b/>
          <w:bCs/>
          <w:sz w:val="24"/>
          <w:szCs w:val="24"/>
        </w:rPr>
        <w:t>NO</w:t>
      </w:r>
    </w:p>
    <w:p w14:paraId="35F056BA" w14:textId="77777777" w:rsidR="00F42D09" w:rsidRPr="003F77B5" w:rsidRDefault="00F42D09" w:rsidP="00F42D09">
      <w:pPr>
        <w:rPr>
          <w:b/>
          <w:bCs/>
          <w:sz w:val="24"/>
          <w:szCs w:val="24"/>
        </w:rPr>
      </w:pPr>
      <w:r w:rsidRPr="003F77B5">
        <w:rPr>
          <w:b/>
          <w:bCs/>
          <w:sz w:val="24"/>
          <w:szCs w:val="24"/>
        </w:rPr>
        <w:t>DON’T KNOW</w:t>
      </w:r>
    </w:p>
    <w:p w14:paraId="237DD78B" w14:textId="11782EFC" w:rsidR="00F42D09" w:rsidRDefault="00F42D09" w:rsidP="00F42D09">
      <w:pPr>
        <w:rPr>
          <w:sz w:val="24"/>
          <w:szCs w:val="24"/>
        </w:rPr>
      </w:pPr>
      <w:r w:rsidRPr="00F42D09">
        <w:rPr>
          <w:sz w:val="24"/>
          <w:szCs w:val="24"/>
        </w:rPr>
        <w:t>However, in the first instance we suggest making use of the available science and evidence (such as test and research reports, publications), which already exist – such as the Hackitt Review.</w:t>
      </w:r>
    </w:p>
    <w:p w14:paraId="4AAF4719" w14:textId="17D4A0B0" w:rsidR="00F42D09" w:rsidRDefault="00F42D09" w:rsidP="00F42D09">
      <w:pPr>
        <w:rPr>
          <w:b/>
          <w:bCs/>
          <w:sz w:val="24"/>
          <w:szCs w:val="24"/>
        </w:rPr>
      </w:pPr>
      <w:r w:rsidRPr="00F42D09">
        <w:rPr>
          <w:b/>
          <w:bCs/>
          <w:sz w:val="24"/>
          <w:szCs w:val="24"/>
        </w:rPr>
        <w:t>Please suggest the type of evidence you consider should be included in further review of the height threshold of the ban.</w:t>
      </w:r>
    </w:p>
    <w:p w14:paraId="6A9DCF98" w14:textId="6CB7918E" w:rsidR="00F42D09" w:rsidRPr="00F42D09" w:rsidRDefault="00F42D09" w:rsidP="00F42D09">
      <w:pPr>
        <w:rPr>
          <w:sz w:val="24"/>
          <w:szCs w:val="24"/>
        </w:rPr>
      </w:pPr>
      <w:r w:rsidRPr="00F42D09">
        <w:rPr>
          <w:sz w:val="24"/>
          <w:szCs w:val="24"/>
        </w:rPr>
        <w:t>A research project should be carried out focused on mapping a risk matrix to carry forward fully informed legislation, which is designed to ensure safety with a sound evidence base.</w:t>
      </w:r>
    </w:p>
    <w:p w14:paraId="53254997" w14:textId="187BD26C" w:rsidR="00F42D09" w:rsidRDefault="00F42D09" w:rsidP="00F42D09">
      <w:pPr>
        <w:rPr>
          <w:sz w:val="24"/>
          <w:szCs w:val="24"/>
        </w:rPr>
      </w:pPr>
      <w:r w:rsidRPr="00F42D09">
        <w:rPr>
          <w:sz w:val="24"/>
          <w:szCs w:val="24"/>
        </w:rPr>
        <w:t>This should include a full consideration of the risk factors in the design of the building, such as whether there are enough escape routes, if there are or should be sprinklers, and the occupancy type.</w:t>
      </w:r>
    </w:p>
    <w:p w14:paraId="61442A29" w14:textId="61D73DEF" w:rsidR="00F42D09" w:rsidRDefault="00F42D09" w:rsidP="00F42D09">
      <w:pPr>
        <w:rPr>
          <w:b/>
          <w:bCs/>
          <w:sz w:val="24"/>
          <w:szCs w:val="24"/>
        </w:rPr>
      </w:pPr>
      <w:r w:rsidRPr="00F42D09">
        <w:rPr>
          <w:b/>
          <w:bCs/>
          <w:sz w:val="24"/>
          <w:szCs w:val="24"/>
        </w:rPr>
        <w:t>Please provide any evidence you believe should be considered in further review of the height threshold of the ban.</w:t>
      </w:r>
    </w:p>
    <w:p w14:paraId="217C88F4" w14:textId="71A370C2" w:rsidR="00F42D09" w:rsidRPr="00F42D09" w:rsidRDefault="00F42D09" w:rsidP="00F42D09">
      <w:pPr>
        <w:rPr>
          <w:sz w:val="24"/>
          <w:szCs w:val="24"/>
        </w:rPr>
      </w:pPr>
      <w:r w:rsidRPr="00F42D09">
        <w:rPr>
          <w:sz w:val="24"/>
          <w:szCs w:val="24"/>
        </w:rPr>
        <w:t xml:space="preserve">BS8414 should be reinstated with significant restrictions on the use of desktop studies, as was supported by the Hackitt Review. </w:t>
      </w:r>
    </w:p>
    <w:p w14:paraId="025FC87E" w14:textId="2629B425" w:rsidR="00F42D09" w:rsidRPr="00F42D09" w:rsidRDefault="00F42D09" w:rsidP="00F42D09">
      <w:pPr>
        <w:rPr>
          <w:sz w:val="24"/>
          <w:szCs w:val="24"/>
        </w:rPr>
      </w:pPr>
      <w:r w:rsidRPr="00F42D09">
        <w:rPr>
          <w:sz w:val="24"/>
          <w:szCs w:val="24"/>
        </w:rPr>
        <w:t xml:space="preserve">Policy should be informed by science and evidence, and if a building system is demonstrated as meeting the requirements of Building Regulations through rigorous testing under BS8414 or an equivalent to inhibit fire spread and allow for safe evacuation of residents this system should be allowed.  </w:t>
      </w:r>
    </w:p>
    <w:p w14:paraId="196FD34B" w14:textId="04106619" w:rsidR="00F42D09" w:rsidRDefault="00F42D09" w:rsidP="00F42D09">
      <w:pPr>
        <w:rPr>
          <w:sz w:val="24"/>
          <w:szCs w:val="24"/>
        </w:rPr>
      </w:pPr>
      <w:r w:rsidRPr="2E1CD322">
        <w:rPr>
          <w:sz w:val="24"/>
          <w:szCs w:val="24"/>
        </w:rPr>
        <w:t xml:space="preserve">If we want to reduce risk of fire spread on external surfaces, then restrict or ban the use of certain cladding. </w:t>
      </w:r>
      <w:r w:rsidR="0F36DFAE" w:rsidRPr="2E1CD322">
        <w:rPr>
          <w:sz w:val="24"/>
          <w:szCs w:val="24"/>
        </w:rPr>
        <w:t xml:space="preserve">There is </w:t>
      </w:r>
      <w:r w:rsidR="51D30F13" w:rsidRPr="2E1CD322">
        <w:rPr>
          <w:sz w:val="24"/>
          <w:szCs w:val="24"/>
        </w:rPr>
        <w:t>no reason to</w:t>
      </w:r>
      <w:r w:rsidRPr="2E1CD322">
        <w:rPr>
          <w:sz w:val="24"/>
          <w:szCs w:val="24"/>
        </w:rPr>
        <w:t xml:space="preserve"> extend this to the structural wall.</w:t>
      </w:r>
    </w:p>
    <w:p w14:paraId="345330E6" w14:textId="15C22534" w:rsidR="00C64BA4" w:rsidRDefault="000E23D1" w:rsidP="00F42D09">
      <w:pPr>
        <w:rPr>
          <w:sz w:val="24"/>
          <w:szCs w:val="24"/>
        </w:rPr>
      </w:pPr>
      <w:r>
        <w:lastRenderedPageBreak/>
        <w:pict w14:anchorId="4D5A2173">
          <v:rect id="_x0000_i1026" style="width:0;height:1.5pt" o:hralign="center" o:hrstd="t" o:hr="t" fillcolor="#a0a0a0" stroked="f"/>
        </w:pict>
      </w:r>
    </w:p>
    <w:p w14:paraId="6545B1BA" w14:textId="2F289349" w:rsidR="3232DB38" w:rsidRDefault="00F42D09">
      <w:r w:rsidRPr="3232DB38">
        <w:rPr>
          <w:b/>
          <w:bCs/>
          <w:color w:val="FF0000"/>
          <w:sz w:val="24"/>
          <w:szCs w:val="24"/>
        </w:rPr>
        <w:t xml:space="preserve">NB: </w:t>
      </w:r>
      <w:r w:rsidR="00C64BA4" w:rsidRPr="3232DB38">
        <w:rPr>
          <w:b/>
          <w:bCs/>
          <w:color w:val="FF0000"/>
          <w:sz w:val="24"/>
          <w:szCs w:val="24"/>
        </w:rPr>
        <w:t>WE HAVE ELECTED NOT TO RESPOND TO QUESTIONS 5</w:t>
      </w:r>
      <w:r w:rsidR="74852B59" w:rsidRPr="3232DB38">
        <w:rPr>
          <w:b/>
          <w:bCs/>
          <w:color w:val="FF0000"/>
          <w:sz w:val="24"/>
          <w:szCs w:val="24"/>
        </w:rPr>
        <w:t xml:space="preserve"> AND </w:t>
      </w:r>
      <w:r w:rsidR="4B14F77E" w:rsidRPr="3232DB38">
        <w:rPr>
          <w:b/>
          <w:bCs/>
          <w:color w:val="FF0000"/>
          <w:sz w:val="24"/>
          <w:szCs w:val="24"/>
        </w:rPr>
        <w:t>6</w:t>
      </w:r>
      <w:r w:rsidR="04E85AFA" w:rsidRPr="3232DB38">
        <w:rPr>
          <w:b/>
          <w:bCs/>
          <w:color w:val="FF0000"/>
          <w:sz w:val="24"/>
          <w:szCs w:val="24"/>
        </w:rPr>
        <w:t xml:space="preserve"> </w:t>
      </w:r>
      <w:r w:rsidR="00C64BA4" w:rsidRPr="3232DB38">
        <w:rPr>
          <w:b/>
          <w:bCs/>
          <w:color w:val="FF0000"/>
          <w:sz w:val="24"/>
          <w:szCs w:val="24"/>
        </w:rPr>
        <w:t>WHICH DO NOT DEAL WITH CORE MATTERS RELATED TO OUR CONCERNS</w:t>
      </w:r>
    </w:p>
    <w:p w14:paraId="53AABAF9" w14:textId="247F685F" w:rsidR="00C64BA4" w:rsidRDefault="000E23D1" w:rsidP="50BBA737">
      <w:pPr>
        <w:rPr>
          <w:b/>
          <w:bCs/>
          <w:sz w:val="24"/>
          <w:szCs w:val="24"/>
        </w:rPr>
      </w:pPr>
      <w:r>
        <w:pict w14:anchorId="462DBE41">
          <v:rect id="_x0000_i1027" style="width:0;height:1.5pt" o:hralign="center" o:hrstd="t" o:hr="t" fillcolor="#a0a0a0" stroked="f"/>
        </w:pict>
      </w:r>
      <w:r w:rsidR="7B5BF2FA" w:rsidRPr="50BBA737">
        <w:rPr>
          <w:b/>
          <w:bCs/>
          <w:sz w:val="24"/>
          <w:szCs w:val="24"/>
        </w:rPr>
        <w:t>QUESTION 7</w:t>
      </w:r>
    </w:p>
    <w:p w14:paraId="0EA4DC15" w14:textId="7EF8B940" w:rsidR="00C64BA4" w:rsidRDefault="7B5BF2FA" w:rsidP="50BBA737">
      <w:pPr>
        <w:rPr>
          <w:b/>
          <w:bCs/>
          <w:sz w:val="24"/>
          <w:szCs w:val="24"/>
        </w:rPr>
      </w:pPr>
      <w:r w:rsidRPr="3232DB38">
        <w:rPr>
          <w:rFonts w:ascii="Calibri" w:eastAsia="Calibri" w:hAnsi="Calibri" w:cs="Calibri"/>
          <w:b/>
          <w:bCs/>
          <w:sz w:val="24"/>
          <w:szCs w:val="24"/>
        </w:rPr>
        <w:t>Which additional components, if any, should be included on the list of exemptions in Regulation 7(3) and why?</w:t>
      </w:r>
      <w:r w:rsidRPr="3232DB38">
        <w:rPr>
          <w:b/>
          <w:bCs/>
          <w:sz w:val="24"/>
          <w:szCs w:val="24"/>
        </w:rPr>
        <w:t xml:space="preserve"> </w:t>
      </w:r>
    </w:p>
    <w:p w14:paraId="0CE3DD02" w14:textId="1C45B7C5" w:rsidR="00C64BA4" w:rsidRDefault="57A23877" w:rsidP="50BBA737">
      <w:pPr>
        <w:rPr>
          <w:sz w:val="24"/>
          <w:szCs w:val="24"/>
        </w:rPr>
      </w:pPr>
      <w:r w:rsidRPr="3232DB38">
        <w:rPr>
          <w:sz w:val="24"/>
          <w:szCs w:val="24"/>
        </w:rPr>
        <w:t>If the proposed movement of the height trigger threshold does go ahead, then</w:t>
      </w:r>
      <w:r w:rsidR="1066A780" w:rsidRPr="3232DB38">
        <w:rPr>
          <w:sz w:val="24"/>
          <w:szCs w:val="24"/>
        </w:rPr>
        <w:t xml:space="preserve"> combustible</w:t>
      </w:r>
      <w:r w:rsidRPr="3232DB38">
        <w:rPr>
          <w:sz w:val="24"/>
          <w:szCs w:val="24"/>
        </w:rPr>
        <w:t xml:space="preserve"> structural </w:t>
      </w:r>
      <w:r w:rsidR="005A7537" w:rsidRPr="3232DB38">
        <w:rPr>
          <w:sz w:val="24"/>
          <w:szCs w:val="24"/>
        </w:rPr>
        <w:t xml:space="preserve">element </w:t>
      </w:r>
      <w:r w:rsidRPr="3232DB38">
        <w:rPr>
          <w:sz w:val="24"/>
          <w:szCs w:val="24"/>
        </w:rPr>
        <w:t>should be plac</w:t>
      </w:r>
      <w:r w:rsidR="5BB718B2" w:rsidRPr="3232DB38">
        <w:rPr>
          <w:sz w:val="24"/>
          <w:szCs w:val="24"/>
        </w:rPr>
        <w:t xml:space="preserve">ed on the list of exempted materials </w:t>
      </w:r>
      <w:r w:rsidR="3DA0CA20" w:rsidRPr="3232DB38">
        <w:rPr>
          <w:sz w:val="24"/>
          <w:szCs w:val="24"/>
        </w:rPr>
        <w:t>provided they</w:t>
      </w:r>
      <w:r w:rsidR="6D265364" w:rsidRPr="3232DB38">
        <w:rPr>
          <w:sz w:val="24"/>
          <w:szCs w:val="24"/>
        </w:rPr>
        <w:t xml:space="preserve"> pass BS8414 testing as part of a complete external wall assembly – this is an approach similar to that taken in many other countries, such as the US and Canada.</w:t>
      </w:r>
    </w:p>
    <w:p w14:paraId="6C8524F1" w14:textId="34E884CF" w:rsidR="00C64BA4" w:rsidRDefault="6D265364" w:rsidP="50BBA737">
      <w:pPr>
        <w:rPr>
          <w:rFonts w:ascii="Calibri" w:eastAsia="Calibri" w:hAnsi="Calibri" w:cs="Calibri"/>
          <w:sz w:val="24"/>
          <w:szCs w:val="24"/>
        </w:rPr>
      </w:pPr>
      <w:r w:rsidRPr="3232DB38">
        <w:rPr>
          <w:rFonts w:ascii="Calibri" w:eastAsia="Calibri" w:hAnsi="Calibri" w:cs="Calibri"/>
          <w:sz w:val="24"/>
          <w:szCs w:val="24"/>
        </w:rPr>
        <w:t xml:space="preserve">We however note </w:t>
      </w:r>
      <w:r w:rsidR="5BB718B2" w:rsidRPr="3232DB38">
        <w:rPr>
          <w:rFonts w:ascii="Calibri" w:eastAsia="Calibri" w:hAnsi="Calibri" w:cs="Calibri"/>
          <w:sz w:val="24"/>
          <w:szCs w:val="24"/>
        </w:rPr>
        <w:t>Margaret Law’s 1994 paper at the International Association for Fire Safety Science 2 Magic Numbers and Golden Rules” that railed against the use of arbitrary prescriptions. Wh</w:t>
      </w:r>
      <w:r w:rsidR="42BBB7E2" w:rsidRPr="3232DB38">
        <w:rPr>
          <w:rFonts w:ascii="Calibri" w:eastAsia="Calibri" w:hAnsi="Calibri" w:cs="Calibri"/>
          <w:sz w:val="24"/>
          <w:szCs w:val="24"/>
        </w:rPr>
        <w:t xml:space="preserve">ile </w:t>
      </w:r>
      <w:r w:rsidR="3F7F4DD8" w:rsidRPr="3232DB38">
        <w:rPr>
          <w:rFonts w:ascii="Calibri" w:eastAsia="Calibri" w:hAnsi="Calibri" w:cs="Calibri"/>
          <w:sz w:val="24"/>
          <w:szCs w:val="24"/>
        </w:rPr>
        <w:t xml:space="preserve">an </w:t>
      </w:r>
      <w:r w:rsidR="42BBB7E2" w:rsidRPr="3232DB38">
        <w:rPr>
          <w:rFonts w:ascii="Calibri" w:eastAsia="Calibri" w:hAnsi="Calibri" w:cs="Calibri"/>
          <w:sz w:val="24"/>
          <w:szCs w:val="24"/>
        </w:rPr>
        <w:t>approach of bans and exemptions may appear favourable to politicians and regulators who seek to hold architects and engineers</w:t>
      </w:r>
      <w:r w:rsidR="3359C84D" w:rsidRPr="3232DB38">
        <w:rPr>
          <w:rFonts w:ascii="Calibri" w:eastAsia="Calibri" w:hAnsi="Calibri" w:cs="Calibri"/>
          <w:sz w:val="24"/>
          <w:szCs w:val="24"/>
        </w:rPr>
        <w:t xml:space="preserve"> to account through simple checks, and a desire for simple rules, </w:t>
      </w:r>
      <w:r w:rsidR="56E5C320" w:rsidRPr="3232DB38">
        <w:rPr>
          <w:rFonts w:ascii="Calibri" w:eastAsia="Calibri" w:hAnsi="Calibri" w:cs="Calibri"/>
          <w:sz w:val="24"/>
          <w:szCs w:val="24"/>
        </w:rPr>
        <w:t xml:space="preserve">this fails to build </w:t>
      </w:r>
      <w:r w:rsidR="5178032C" w:rsidRPr="3232DB38">
        <w:rPr>
          <w:rFonts w:ascii="Calibri" w:eastAsia="Calibri" w:hAnsi="Calibri" w:cs="Calibri"/>
          <w:sz w:val="24"/>
          <w:szCs w:val="24"/>
        </w:rPr>
        <w:t>competence.</w:t>
      </w:r>
    </w:p>
    <w:p w14:paraId="39556F8C" w14:textId="7FECA332" w:rsidR="1AD36DBA" w:rsidRDefault="1AD36DBA" w:rsidP="1C79B1D9">
      <w:pPr>
        <w:rPr>
          <w:rFonts w:ascii="Calibri" w:eastAsia="Calibri" w:hAnsi="Calibri" w:cs="Calibri"/>
          <w:sz w:val="24"/>
          <w:szCs w:val="24"/>
        </w:rPr>
      </w:pPr>
      <w:r w:rsidRPr="3232DB38">
        <w:rPr>
          <w:rFonts w:ascii="Calibri" w:eastAsia="Calibri" w:hAnsi="Calibri" w:cs="Calibri"/>
          <w:sz w:val="24"/>
          <w:szCs w:val="24"/>
        </w:rPr>
        <w:t xml:space="preserve">Cross-industry concerns have already highlighted that a reliance on such bans could create tick box compliance </w:t>
      </w:r>
      <w:r w:rsidR="374F252E" w:rsidRPr="3232DB38">
        <w:rPr>
          <w:rFonts w:ascii="Calibri" w:eastAsia="Calibri" w:hAnsi="Calibri" w:cs="Calibri"/>
          <w:sz w:val="24"/>
          <w:szCs w:val="24"/>
        </w:rPr>
        <w:t xml:space="preserve">and </w:t>
      </w:r>
      <w:r w:rsidRPr="3232DB38">
        <w:rPr>
          <w:rFonts w:ascii="Calibri" w:eastAsia="Calibri" w:hAnsi="Calibri" w:cs="Calibri"/>
          <w:sz w:val="24"/>
          <w:szCs w:val="24"/>
        </w:rPr>
        <w:t xml:space="preserve">lead to poor fire safety and design. London Fire, for example, said the ban ‘is dealing with a symptom but not providing the cure’. They also expressed the limitations of using height as a defining factor for fire safety without considering perimeter access in their technical response to the ban last year. </w:t>
      </w:r>
    </w:p>
    <w:p w14:paraId="31795CD7" w14:textId="4C63B488" w:rsidR="00C64BA4" w:rsidRDefault="00617652" w:rsidP="50BBA737">
      <w:pPr>
        <w:rPr>
          <w:rFonts w:ascii="Calibri" w:eastAsia="Calibri" w:hAnsi="Calibri" w:cs="Calibri"/>
          <w:sz w:val="24"/>
          <w:szCs w:val="24"/>
        </w:rPr>
      </w:pPr>
      <w:r>
        <w:pict w14:anchorId="1A0852F8">
          <v:rect id="_x0000_i1028" style="width:0;height:1.5pt" o:hralign="center" o:hrstd="t" o:hr="t" fillcolor="#a0a0a0" stroked="f"/>
        </w:pict>
      </w:r>
    </w:p>
    <w:p w14:paraId="0CCF261F" w14:textId="62E999CC" w:rsidR="00C64BA4" w:rsidRDefault="6092A440" w:rsidP="50BBA737">
      <w:pPr>
        <w:rPr>
          <w:b/>
          <w:bCs/>
          <w:color w:val="FF0000"/>
          <w:sz w:val="24"/>
          <w:szCs w:val="24"/>
        </w:rPr>
      </w:pPr>
      <w:r w:rsidRPr="3232DB38">
        <w:rPr>
          <w:b/>
          <w:bCs/>
          <w:color w:val="FF0000"/>
          <w:sz w:val="24"/>
          <w:szCs w:val="24"/>
        </w:rPr>
        <w:t>NB: WE HAVE ELECTED NOT TO RESPOND TO QUESTIONS 8 THROUGH TO 13 WHICH DO NOT DEAL WITH CORE MATTERS RELATED TO OUR CONCERNS</w:t>
      </w:r>
    </w:p>
    <w:p w14:paraId="2015956B" w14:textId="6E7E383E" w:rsidR="00C64BA4" w:rsidRDefault="00617652" w:rsidP="50BBA737">
      <w:pPr>
        <w:rPr>
          <w:b/>
          <w:bCs/>
          <w:color w:val="FF0000"/>
          <w:sz w:val="24"/>
          <w:szCs w:val="24"/>
        </w:rPr>
      </w:pPr>
      <w:r>
        <w:pict w14:anchorId="2A969927">
          <v:rect id="_x0000_i1029" style="width:0;height:1.5pt" o:hralign="center" o:hrstd="t" o:hr="t" fillcolor="#a0a0a0" stroked="f"/>
        </w:pict>
      </w:r>
    </w:p>
    <w:p w14:paraId="6A2F82E8" w14:textId="18A84E42" w:rsidR="00C64BA4" w:rsidRDefault="00C64BA4" w:rsidP="2E1CD322">
      <w:pPr>
        <w:rPr>
          <w:b/>
          <w:bCs/>
          <w:sz w:val="24"/>
          <w:szCs w:val="24"/>
        </w:rPr>
      </w:pPr>
      <w:r w:rsidRPr="50BBA737">
        <w:rPr>
          <w:b/>
          <w:bCs/>
          <w:sz w:val="24"/>
          <w:szCs w:val="24"/>
        </w:rPr>
        <w:t>QUESTION 14</w:t>
      </w:r>
    </w:p>
    <w:p w14:paraId="1B7A7D07" w14:textId="6940F98A" w:rsidR="00C64BA4" w:rsidRDefault="00C64BA4" w:rsidP="00C64BA4">
      <w:pPr>
        <w:rPr>
          <w:b/>
          <w:bCs/>
          <w:sz w:val="24"/>
          <w:szCs w:val="24"/>
        </w:rPr>
      </w:pPr>
      <w:r w:rsidRPr="00C64BA4">
        <w:rPr>
          <w:b/>
          <w:bCs/>
          <w:sz w:val="24"/>
          <w:szCs w:val="24"/>
        </w:rPr>
        <w:t>Please provide any additional evidence on costs, risks and benefits which should be considered in an assessment of impacts of this consultation.</w:t>
      </w:r>
    </w:p>
    <w:p w14:paraId="3FDA586A" w14:textId="77777777" w:rsidR="00C64BA4" w:rsidRDefault="00C64BA4" w:rsidP="00C64BA4">
      <w:pPr>
        <w:rPr>
          <w:rFonts w:ascii="Calibri" w:eastAsia="Calibri" w:hAnsi="Calibri" w:cs="Times New Roman"/>
        </w:rPr>
      </w:pPr>
      <w:r>
        <w:rPr>
          <w:rFonts w:ascii="Calibri" w:eastAsia="Calibri" w:hAnsi="Calibri" w:cs="Times New Roman"/>
        </w:rPr>
        <w:t xml:space="preserve">As the Right Hon Robert Jenrick said to the House of Commons, height is not enough in and of itself to judge the fire performance of a building. This is based on multiple factors, including design, occupancy, and secondary fire suppression measures such as sprinklers. </w:t>
      </w:r>
    </w:p>
    <w:p w14:paraId="367EA78A" w14:textId="0D22C39C" w:rsidR="00C64BA4" w:rsidRDefault="00C64BA4" w:rsidP="00C64BA4">
      <w:pPr>
        <w:rPr>
          <w:rFonts w:ascii="Calibri" w:eastAsia="Calibri" w:hAnsi="Calibri" w:cs="Times New Roman"/>
        </w:rPr>
      </w:pPr>
      <w:r>
        <w:rPr>
          <w:rFonts w:ascii="Calibri" w:eastAsia="Calibri" w:hAnsi="Calibri" w:cs="Times New Roman"/>
        </w:rPr>
        <w:t xml:space="preserve">If the objective is to restrict the spread of fire across higher risk buildings, then the focus should be on </w:t>
      </w:r>
      <w:r w:rsidR="00313F30">
        <w:rPr>
          <w:rFonts w:ascii="Calibri" w:eastAsia="Calibri" w:hAnsi="Calibri" w:cs="Times New Roman"/>
        </w:rPr>
        <w:t xml:space="preserve">the external </w:t>
      </w:r>
      <w:r>
        <w:rPr>
          <w:rFonts w:ascii="Calibri" w:eastAsia="Calibri" w:hAnsi="Calibri" w:cs="Times New Roman"/>
        </w:rPr>
        <w:t>cladding and not the structural wall. While cladding can pose an obvious risk, materials comprising the structural wall are encapsulated on both sides, and have an entirely different fire performance profile.</w:t>
      </w:r>
    </w:p>
    <w:p w14:paraId="33EE191F" w14:textId="77777777" w:rsidR="00C64BA4" w:rsidRDefault="00C64BA4" w:rsidP="00C64BA4">
      <w:pPr>
        <w:rPr>
          <w:rFonts w:ascii="Calibri" w:eastAsia="Calibri" w:hAnsi="Calibri" w:cs="Times New Roman"/>
          <w:b/>
          <w:bCs/>
          <w:color w:val="FF0000"/>
        </w:rPr>
      </w:pPr>
      <w:r>
        <w:rPr>
          <w:rFonts w:ascii="Calibri" w:eastAsia="Calibri" w:hAnsi="Calibri" w:cs="Times New Roman"/>
        </w:rPr>
        <w:t>Conflating the external cladding with the structural wall is causing confusion in the industry, and undermining the credibility of this review and the ban on combustible materials.</w:t>
      </w:r>
    </w:p>
    <w:p w14:paraId="504698BF" w14:textId="05FA4F38" w:rsidR="00C64BA4" w:rsidRPr="00F82D07" w:rsidRDefault="00C64BA4" w:rsidP="00C64BA4">
      <w:pPr>
        <w:rPr>
          <w:rFonts w:ascii="Calibri" w:eastAsia="Calibri" w:hAnsi="Calibri" w:cs="Times New Roman"/>
          <w:b/>
          <w:bCs/>
          <w:color w:val="FF0000"/>
        </w:rPr>
      </w:pPr>
      <w:r w:rsidRPr="00F82D07">
        <w:rPr>
          <w:rFonts w:ascii="Calibri" w:eastAsia="Calibri" w:hAnsi="Calibri" w:cs="Times New Roman"/>
          <w:b/>
          <w:bCs/>
          <w:color w:val="FF0000"/>
        </w:rPr>
        <w:lastRenderedPageBreak/>
        <w:t>A ban down to 11 metres</w:t>
      </w:r>
      <w:r>
        <w:rPr>
          <w:rFonts w:ascii="Calibri" w:eastAsia="Calibri" w:hAnsi="Calibri" w:cs="Times New Roman"/>
          <w:b/>
          <w:bCs/>
          <w:color w:val="FF0000"/>
        </w:rPr>
        <w:t>,</w:t>
      </w:r>
      <w:r w:rsidRPr="00F82D07">
        <w:rPr>
          <w:rFonts w:ascii="Calibri" w:eastAsia="Calibri" w:hAnsi="Calibri" w:cs="Times New Roman"/>
          <w:b/>
          <w:bCs/>
          <w:color w:val="FF0000"/>
        </w:rPr>
        <w:t xml:space="preserve"> which includes the structural walls of buildings, will impact the use of wood and wood-based products in ways counterproductive to achieving Government targets</w:t>
      </w:r>
      <w:r>
        <w:rPr>
          <w:rFonts w:ascii="Calibri" w:eastAsia="Calibri" w:hAnsi="Calibri" w:cs="Times New Roman"/>
          <w:b/>
          <w:bCs/>
          <w:color w:val="FF0000"/>
        </w:rPr>
        <w:t xml:space="preserve"> </w:t>
      </w:r>
      <w:r w:rsidR="00FB12D3">
        <w:rPr>
          <w:rFonts w:ascii="Calibri" w:eastAsia="Calibri" w:hAnsi="Calibri" w:cs="Times New Roman"/>
          <w:b/>
          <w:bCs/>
          <w:color w:val="FF0000"/>
        </w:rPr>
        <w:t>on housing</w:t>
      </w:r>
      <w:r w:rsidR="00313F30">
        <w:rPr>
          <w:rFonts w:ascii="Calibri" w:eastAsia="Calibri" w:hAnsi="Calibri" w:cs="Times New Roman"/>
          <w:b/>
          <w:bCs/>
          <w:color w:val="FF0000"/>
        </w:rPr>
        <w:t>, climate change,</w:t>
      </w:r>
      <w:r w:rsidR="00FB12D3">
        <w:rPr>
          <w:rFonts w:ascii="Calibri" w:eastAsia="Calibri" w:hAnsi="Calibri" w:cs="Times New Roman"/>
          <w:b/>
          <w:bCs/>
          <w:color w:val="FF0000"/>
        </w:rPr>
        <w:t xml:space="preserve"> and sustainability</w:t>
      </w:r>
      <w:r w:rsidRPr="00F82D07">
        <w:rPr>
          <w:rFonts w:ascii="Calibri" w:eastAsia="Calibri" w:hAnsi="Calibri" w:cs="Times New Roman"/>
          <w:b/>
          <w:bCs/>
          <w:color w:val="FF0000"/>
        </w:rPr>
        <w:t>, without giving clarity or making buildings safer.</w:t>
      </w:r>
    </w:p>
    <w:p w14:paraId="3F5EB319" w14:textId="04A9B7C5" w:rsidR="00C64BA4" w:rsidRPr="00F82D07" w:rsidRDefault="00C64BA4" w:rsidP="00C64BA4">
      <w:pPr>
        <w:rPr>
          <w:rFonts w:ascii="Calibri" w:eastAsia="Calibri" w:hAnsi="Calibri" w:cs="Times New Roman"/>
        </w:rPr>
      </w:pPr>
      <w:r w:rsidRPr="00F82D07">
        <w:rPr>
          <w:rFonts w:ascii="Calibri" w:eastAsia="Calibri" w:hAnsi="Calibri" w:cs="Times New Roman"/>
        </w:rPr>
        <w:t>There will be serious consequences felt right across the construction industry if the Government extends this ban</w:t>
      </w:r>
      <w:r w:rsidR="0008471D">
        <w:rPr>
          <w:rFonts w:ascii="Calibri" w:eastAsia="Calibri" w:hAnsi="Calibri" w:cs="Times New Roman"/>
        </w:rPr>
        <w:t>,</w:t>
      </w:r>
      <w:r w:rsidRPr="00F82D07">
        <w:rPr>
          <w:rFonts w:ascii="Calibri" w:eastAsia="Calibri" w:hAnsi="Calibri" w:cs="Times New Roman"/>
        </w:rPr>
        <w:t xml:space="preserve"> including negative impacts on:</w:t>
      </w:r>
    </w:p>
    <w:p w14:paraId="2F09AC83" w14:textId="5852C552" w:rsidR="00C64BA4" w:rsidRPr="00F82D07" w:rsidRDefault="00C64BA4" w:rsidP="00C64BA4">
      <w:pPr>
        <w:numPr>
          <w:ilvl w:val="0"/>
          <w:numId w:val="3"/>
        </w:numPr>
        <w:contextualSpacing/>
        <w:rPr>
          <w:rFonts w:ascii="Calibri" w:eastAsia="Calibri" w:hAnsi="Calibri" w:cs="Times New Roman"/>
        </w:rPr>
      </w:pPr>
      <w:r w:rsidRPr="00F82D07">
        <w:rPr>
          <w:rFonts w:ascii="Calibri" w:eastAsia="Calibri" w:hAnsi="Calibri" w:cs="Times New Roman"/>
        </w:rPr>
        <w:t xml:space="preserve">Modular construction, by severely limiting the </w:t>
      </w:r>
      <w:r w:rsidR="0008471D" w:rsidRPr="00F82D07">
        <w:rPr>
          <w:rFonts w:ascii="Calibri" w:eastAsia="Calibri" w:hAnsi="Calibri" w:cs="Times New Roman"/>
        </w:rPr>
        <w:t>pal</w:t>
      </w:r>
      <w:r w:rsidR="0008471D">
        <w:rPr>
          <w:rFonts w:ascii="Calibri" w:eastAsia="Calibri" w:hAnsi="Calibri" w:cs="Times New Roman"/>
        </w:rPr>
        <w:t>ette</w:t>
      </w:r>
      <w:r w:rsidR="0008471D" w:rsidRPr="00F82D07">
        <w:rPr>
          <w:rFonts w:ascii="Calibri" w:eastAsia="Calibri" w:hAnsi="Calibri" w:cs="Times New Roman"/>
        </w:rPr>
        <w:t xml:space="preserve"> </w:t>
      </w:r>
      <w:r w:rsidRPr="00F82D07">
        <w:rPr>
          <w:rFonts w:ascii="Calibri" w:eastAsia="Calibri" w:hAnsi="Calibri" w:cs="Times New Roman"/>
        </w:rPr>
        <w:t xml:space="preserve">of materials available to support MMC. </w:t>
      </w:r>
    </w:p>
    <w:p w14:paraId="212BDCAF" w14:textId="77777777" w:rsidR="00C64BA4" w:rsidRPr="00F82D07" w:rsidRDefault="00C64BA4" w:rsidP="00C64BA4">
      <w:pPr>
        <w:numPr>
          <w:ilvl w:val="0"/>
          <w:numId w:val="3"/>
        </w:numPr>
        <w:contextualSpacing/>
        <w:rPr>
          <w:rFonts w:ascii="Calibri" w:eastAsia="Calibri" w:hAnsi="Calibri" w:cs="Times New Roman"/>
        </w:rPr>
      </w:pPr>
      <w:r w:rsidRPr="00F82D07">
        <w:rPr>
          <w:rFonts w:ascii="Calibri" w:eastAsia="Calibri" w:hAnsi="Calibri" w:cs="Times New Roman"/>
        </w:rPr>
        <w:t>Sustainability, as timber has the lowest embodied carbon of any construction material.</w:t>
      </w:r>
    </w:p>
    <w:p w14:paraId="2ABDD6CE" w14:textId="77777777" w:rsidR="00C64BA4" w:rsidRPr="00F82D07" w:rsidRDefault="00C64BA4" w:rsidP="00C64BA4">
      <w:pPr>
        <w:numPr>
          <w:ilvl w:val="0"/>
          <w:numId w:val="3"/>
        </w:numPr>
        <w:contextualSpacing/>
        <w:rPr>
          <w:rFonts w:ascii="Calibri" w:eastAsia="Calibri" w:hAnsi="Calibri" w:cs="Times New Roman"/>
        </w:rPr>
      </w:pPr>
      <w:r w:rsidRPr="00F82D07">
        <w:rPr>
          <w:rFonts w:ascii="Calibri" w:eastAsia="Calibri" w:hAnsi="Calibri" w:cs="Times New Roman"/>
        </w:rPr>
        <w:t xml:space="preserve">Housing targets, because this ban will increase the cost and time of construction projects. </w:t>
      </w:r>
    </w:p>
    <w:p w14:paraId="4FE65D46" w14:textId="77777777" w:rsidR="00C64BA4" w:rsidRPr="00F82D07" w:rsidRDefault="00C64BA4" w:rsidP="00C64BA4">
      <w:pPr>
        <w:ind w:left="720"/>
        <w:contextualSpacing/>
        <w:rPr>
          <w:rFonts w:ascii="Calibri" w:eastAsia="Calibri" w:hAnsi="Calibri" w:cs="Times New Roman"/>
        </w:rPr>
      </w:pPr>
    </w:p>
    <w:p w14:paraId="5395285C" w14:textId="66B8619E" w:rsidR="00C64BA4" w:rsidRDefault="00C64BA4" w:rsidP="00C64BA4">
      <w:pPr>
        <w:contextualSpacing/>
        <w:rPr>
          <w:rFonts w:ascii="Calibri" w:eastAsia="Calibri" w:hAnsi="Calibri" w:cs="Times New Roman"/>
        </w:rPr>
      </w:pPr>
      <w:r w:rsidRPr="00F82D07">
        <w:rPr>
          <w:rFonts w:ascii="Calibri" w:eastAsia="Calibri" w:hAnsi="Calibri" w:cs="Times New Roman"/>
        </w:rPr>
        <w:t xml:space="preserve">This limits the ability of the government and industry to achieve a core recommendation of the Committee on Climate Change report, </w:t>
      </w:r>
      <w:r w:rsidRPr="00F82D07">
        <w:rPr>
          <w:rFonts w:ascii="Calibri" w:eastAsia="Calibri" w:hAnsi="Calibri" w:cs="Times New Roman"/>
          <w:i/>
          <w:iCs/>
        </w:rPr>
        <w:t xml:space="preserve">UK Housing: Fit for the Future, </w:t>
      </w:r>
      <w:r w:rsidRPr="00F82D07">
        <w:rPr>
          <w:rFonts w:ascii="Calibri" w:eastAsia="Calibri" w:hAnsi="Calibri" w:cs="Times New Roman"/>
        </w:rPr>
        <w:t>which</w:t>
      </w:r>
      <w:r w:rsidRPr="00F82D07">
        <w:rPr>
          <w:rFonts w:ascii="Calibri" w:eastAsia="Calibri" w:hAnsi="Calibri" w:cs="Times New Roman"/>
          <w:i/>
          <w:iCs/>
        </w:rPr>
        <w:t xml:space="preserve"> </w:t>
      </w:r>
      <w:r w:rsidRPr="00F82D07">
        <w:rPr>
          <w:rFonts w:ascii="Calibri" w:eastAsia="Calibri" w:hAnsi="Calibri" w:cs="Times New Roman"/>
        </w:rPr>
        <w:t>was to increase the use of sustainable timber in construction.</w:t>
      </w:r>
    </w:p>
    <w:p w14:paraId="4A85D492" w14:textId="77777777" w:rsidR="00FB12D3" w:rsidRPr="00F82D07" w:rsidRDefault="00FB12D3" w:rsidP="00C64BA4">
      <w:pPr>
        <w:contextualSpacing/>
        <w:rPr>
          <w:rFonts w:ascii="Calibri" w:eastAsia="Calibri" w:hAnsi="Calibri" w:cs="Times New Roman"/>
        </w:rPr>
      </w:pPr>
    </w:p>
    <w:p w14:paraId="1C3A3AC6" w14:textId="77777777" w:rsidR="00C64BA4" w:rsidRPr="00F82D07" w:rsidRDefault="00C64BA4" w:rsidP="00C64BA4">
      <w:pPr>
        <w:rPr>
          <w:rFonts w:ascii="Calibri" w:eastAsia="Calibri" w:hAnsi="Calibri" w:cs="Times New Roman"/>
        </w:rPr>
      </w:pPr>
      <w:r w:rsidRPr="00F82D07">
        <w:rPr>
          <w:rFonts w:ascii="Calibri" w:eastAsia="Calibri" w:hAnsi="Calibri" w:cs="Times New Roman"/>
        </w:rPr>
        <w:t>As was outlined in the Hackitt Review, whose conclusions are supported by the timber industry, the focus of Government should be on increasing competence, and giving clarity around responsibilities.</w:t>
      </w:r>
    </w:p>
    <w:p w14:paraId="00ED803F" w14:textId="4358B18C" w:rsidR="00C64BA4" w:rsidRPr="00F82D07" w:rsidRDefault="00C64BA4" w:rsidP="00C64BA4">
      <w:pPr>
        <w:rPr>
          <w:rFonts w:ascii="Calibri" w:eastAsia="Calibri" w:hAnsi="Calibri" w:cs="Times New Roman"/>
          <w:b/>
          <w:bCs/>
          <w:color w:val="FF0000"/>
        </w:rPr>
      </w:pPr>
      <w:r w:rsidRPr="00F82D07">
        <w:rPr>
          <w:rFonts w:ascii="Calibri" w:eastAsia="Calibri" w:hAnsi="Calibri" w:cs="Times New Roman"/>
          <w:b/>
          <w:bCs/>
          <w:color w:val="FF0000"/>
        </w:rPr>
        <w:t xml:space="preserve">We support creating safer, higher performing buildings. However, we are concerned that the current approach on combustible materials </w:t>
      </w:r>
      <w:r w:rsidR="00313F30">
        <w:rPr>
          <w:rFonts w:ascii="Calibri" w:eastAsia="Calibri" w:hAnsi="Calibri" w:cs="Times New Roman"/>
          <w:b/>
          <w:bCs/>
          <w:color w:val="FF0000"/>
        </w:rPr>
        <w:t>will</w:t>
      </w:r>
      <w:r w:rsidR="00313F30" w:rsidRPr="00F82D07">
        <w:rPr>
          <w:rFonts w:ascii="Calibri" w:eastAsia="Calibri" w:hAnsi="Calibri" w:cs="Times New Roman"/>
          <w:b/>
          <w:bCs/>
          <w:color w:val="FF0000"/>
        </w:rPr>
        <w:t xml:space="preserve"> </w:t>
      </w:r>
      <w:r w:rsidRPr="00F82D07">
        <w:rPr>
          <w:rFonts w:ascii="Calibri" w:eastAsia="Calibri" w:hAnsi="Calibri" w:cs="Times New Roman"/>
          <w:b/>
          <w:bCs/>
          <w:color w:val="FF0000"/>
        </w:rPr>
        <w:t xml:space="preserve">not having the desired impact because it does not differentiate between the external cladding and the structural wall itself. </w:t>
      </w:r>
    </w:p>
    <w:p w14:paraId="325D9AD9" w14:textId="77777777" w:rsidR="00C64BA4" w:rsidRPr="00F82D07" w:rsidRDefault="00C64BA4" w:rsidP="00C64BA4">
      <w:pPr>
        <w:rPr>
          <w:rFonts w:ascii="Calibri" w:eastAsia="Calibri" w:hAnsi="Calibri" w:cs="Times New Roman"/>
          <w:b/>
          <w:bCs/>
        </w:rPr>
      </w:pPr>
      <w:r w:rsidRPr="00F82D07">
        <w:rPr>
          <w:rFonts w:ascii="Calibri" w:eastAsia="Calibri" w:hAnsi="Calibri" w:cs="Times New Roman"/>
        </w:rPr>
        <w:t>The lack of differentiation is causing confusion for industry stakeholders, as evidenced by the responses outlined to the recent government survey below:</w:t>
      </w:r>
    </w:p>
    <w:p w14:paraId="4C0A45E2" w14:textId="77777777" w:rsidR="00C64BA4" w:rsidRPr="00F82D07" w:rsidRDefault="00C64BA4" w:rsidP="00C64BA4">
      <w:pPr>
        <w:numPr>
          <w:ilvl w:val="0"/>
          <w:numId w:val="2"/>
        </w:numPr>
        <w:contextualSpacing/>
        <w:rPr>
          <w:rFonts w:ascii="Calibri" w:eastAsia="Calibri" w:hAnsi="Calibri" w:cs="Times New Roman"/>
        </w:rPr>
      </w:pPr>
      <w:r w:rsidRPr="00F82D07">
        <w:rPr>
          <w:rFonts w:ascii="Calibri" w:eastAsia="Calibri" w:hAnsi="Calibri" w:cs="Times New Roman"/>
        </w:rPr>
        <w:t>Only a quarter (26.5%) consider that it is clear which parts of the external walls the ban applies to.</w:t>
      </w:r>
    </w:p>
    <w:p w14:paraId="4127C648" w14:textId="77777777" w:rsidR="00C64BA4" w:rsidRPr="00F82D07" w:rsidRDefault="00C64BA4" w:rsidP="00C64BA4">
      <w:pPr>
        <w:numPr>
          <w:ilvl w:val="0"/>
          <w:numId w:val="2"/>
        </w:numPr>
        <w:contextualSpacing/>
        <w:rPr>
          <w:rFonts w:ascii="Calibri" w:eastAsia="Calibri" w:hAnsi="Calibri" w:cs="Times New Roman"/>
        </w:rPr>
      </w:pPr>
      <w:r w:rsidRPr="00F82D07">
        <w:rPr>
          <w:rFonts w:ascii="Calibri" w:eastAsia="Calibri" w:hAnsi="Calibri" w:cs="Times New Roman"/>
        </w:rPr>
        <w:t>Almost all (94%) of respondents reported wording of the ban and/or associated guidance needs to be amended to improve clarity.</w:t>
      </w:r>
    </w:p>
    <w:p w14:paraId="3375200B" w14:textId="7D6DB96C" w:rsidR="00C64BA4" w:rsidRDefault="00C64BA4" w:rsidP="00C64BA4">
      <w:pPr>
        <w:numPr>
          <w:ilvl w:val="0"/>
          <w:numId w:val="2"/>
        </w:numPr>
        <w:contextualSpacing/>
        <w:rPr>
          <w:rFonts w:ascii="Calibri" w:eastAsia="Calibri" w:hAnsi="Calibri" w:cs="Times New Roman"/>
        </w:rPr>
      </w:pPr>
      <w:r w:rsidRPr="00F82D07">
        <w:rPr>
          <w:rFonts w:ascii="Calibri" w:eastAsia="Calibri" w:hAnsi="Calibri" w:cs="Times New Roman"/>
        </w:rPr>
        <w:t>All but one of the respondents (97%) reported that the legislation is causing technical specification problems.</w:t>
      </w:r>
    </w:p>
    <w:p w14:paraId="756F602A" w14:textId="77777777" w:rsidR="00C64BA4" w:rsidRPr="00C64BA4" w:rsidRDefault="00C64BA4" w:rsidP="00C64BA4">
      <w:pPr>
        <w:ind w:left="720"/>
        <w:contextualSpacing/>
        <w:rPr>
          <w:rFonts w:ascii="Calibri" w:eastAsia="Calibri" w:hAnsi="Calibri" w:cs="Times New Roman"/>
        </w:rPr>
      </w:pPr>
    </w:p>
    <w:p w14:paraId="2F5B1C2A" w14:textId="7DAFAEF5" w:rsidR="00C64BA4" w:rsidRPr="00F82D07" w:rsidRDefault="00C64BA4" w:rsidP="00C64BA4">
      <w:pPr>
        <w:rPr>
          <w:rFonts w:ascii="Calibri" w:eastAsia="Calibri" w:hAnsi="Calibri" w:cs="Times New Roman"/>
        </w:rPr>
      </w:pPr>
      <w:r w:rsidRPr="00F82D07">
        <w:rPr>
          <w:rFonts w:ascii="Calibri" w:eastAsia="Calibri" w:hAnsi="Calibri" w:cs="Times New Roman"/>
        </w:rPr>
        <w:t>The respondents outlined issues arising from this legislation</w:t>
      </w:r>
      <w:r w:rsidR="0008471D">
        <w:rPr>
          <w:rFonts w:ascii="Calibri" w:eastAsia="Calibri" w:hAnsi="Calibri" w:cs="Times New Roman"/>
        </w:rPr>
        <w:t>, such</w:t>
      </w:r>
      <w:r w:rsidRPr="00F82D07">
        <w:rPr>
          <w:rFonts w:ascii="Calibri" w:eastAsia="Calibri" w:hAnsi="Calibri" w:cs="Times New Roman"/>
        </w:rPr>
        <w:t xml:space="preserve"> as increased costs, time delays in construction and planning, as well as the arbitrary prohibition of commonly used robust products.</w:t>
      </w:r>
    </w:p>
    <w:p w14:paraId="55544CC0" w14:textId="2B749FEF" w:rsidR="00C64BA4" w:rsidRPr="00F82D07" w:rsidRDefault="00C64BA4" w:rsidP="00C64BA4">
      <w:pPr>
        <w:rPr>
          <w:rFonts w:ascii="Calibri" w:eastAsia="Calibri" w:hAnsi="Calibri" w:cs="Times New Roman"/>
        </w:rPr>
      </w:pPr>
      <w:r w:rsidRPr="00F82D07">
        <w:rPr>
          <w:rFonts w:ascii="Calibri" w:eastAsia="Calibri" w:hAnsi="Calibri" w:cs="Times New Roman"/>
        </w:rPr>
        <w:t xml:space="preserve">This consultation has quite rightly often been referred </w:t>
      </w:r>
      <w:r w:rsidR="0008471D">
        <w:rPr>
          <w:rFonts w:ascii="Calibri" w:eastAsia="Calibri" w:hAnsi="Calibri" w:cs="Times New Roman"/>
        </w:rPr>
        <w:t xml:space="preserve">to </w:t>
      </w:r>
      <w:r w:rsidRPr="00F82D07">
        <w:rPr>
          <w:rFonts w:ascii="Calibri" w:eastAsia="Calibri" w:hAnsi="Calibri" w:cs="Times New Roman"/>
        </w:rPr>
        <w:t xml:space="preserve">publicly as a ban on cladding. </w:t>
      </w:r>
      <w:r w:rsidRPr="00F82D07">
        <w:rPr>
          <w:rFonts w:ascii="Calibri" w:eastAsia="Calibri" w:hAnsi="Calibri" w:cs="Times New Roman"/>
          <w:u w:val="single"/>
        </w:rPr>
        <w:t>To improve clarity, the Government should keep the focus on cladding, and the manner of its attachment to the external wall, rather than the make-up of the structural wall itself.</w:t>
      </w:r>
    </w:p>
    <w:p w14:paraId="1E114542" w14:textId="77777777" w:rsidR="00C64BA4" w:rsidRPr="00F82D07" w:rsidRDefault="00C64BA4" w:rsidP="00C64BA4">
      <w:pPr>
        <w:rPr>
          <w:rFonts w:ascii="Calibri" w:eastAsia="Calibri" w:hAnsi="Calibri" w:cs="Times New Roman"/>
        </w:rPr>
      </w:pPr>
      <w:r w:rsidRPr="00F82D07">
        <w:rPr>
          <w:rFonts w:ascii="Calibri" w:eastAsia="Calibri" w:hAnsi="Calibri" w:cs="Times New Roman"/>
        </w:rPr>
        <w:t>Differentiating between the external cladding and the structural wall on high rise buildings will allow industry to better identify and focus on the high-risk aspects of their design.</w:t>
      </w:r>
    </w:p>
    <w:p w14:paraId="179AB0D9" w14:textId="3CA0267F" w:rsidR="00C64BA4" w:rsidRPr="00F82D07" w:rsidRDefault="00313F30" w:rsidP="00C64BA4">
      <w:pPr>
        <w:rPr>
          <w:rFonts w:ascii="Calibri" w:eastAsia="Calibri" w:hAnsi="Calibri" w:cs="Times New Roman"/>
          <w:b/>
          <w:bCs/>
          <w:color w:val="FF0000"/>
        </w:rPr>
      </w:pPr>
      <w:r>
        <w:rPr>
          <w:rFonts w:ascii="Calibri" w:eastAsia="Calibri" w:hAnsi="Calibri" w:cs="Times New Roman"/>
          <w:b/>
          <w:bCs/>
          <w:color w:val="FF0000"/>
        </w:rPr>
        <w:t>A</w:t>
      </w:r>
      <w:r w:rsidR="00C64BA4" w:rsidRPr="00F82D07">
        <w:rPr>
          <w:rFonts w:ascii="Calibri" w:eastAsia="Calibri" w:hAnsi="Calibri" w:cs="Times New Roman"/>
          <w:b/>
          <w:bCs/>
          <w:color w:val="FF0000"/>
        </w:rPr>
        <w:t>ny extension of a ban on combustible materials</w:t>
      </w:r>
      <w:r>
        <w:rPr>
          <w:rFonts w:ascii="Calibri" w:eastAsia="Calibri" w:hAnsi="Calibri" w:cs="Times New Roman"/>
          <w:b/>
          <w:bCs/>
          <w:color w:val="FF0000"/>
        </w:rPr>
        <w:t xml:space="preserve"> from 18 metres currently,</w:t>
      </w:r>
      <w:r w:rsidR="00C64BA4" w:rsidRPr="00F82D07">
        <w:rPr>
          <w:rFonts w:ascii="Calibri" w:eastAsia="Calibri" w:hAnsi="Calibri" w:cs="Times New Roman"/>
          <w:b/>
          <w:bCs/>
          <w:color w:val="FF0000"/>
        </w:rPr>
        <w:t xml:space="preserve"> down to 11</w:t>
      </w:r>
      <w:r>
        <w:rPr>
          <w:rFonts w:ascii="Calibri" w:eastAsia="Calibri" w:hAnsi="Calibri" w:cs="Times New Roman"/>
          <w:b/>
          <w:bCs/>
          <w:color w:val="FF0000"/>
        </w:rPr>
        <w:t xml:space="preserve"> </w:t>
      </w:r>
      <w:r w:rsidR="00C64BA4" w:rsidRPr="00F82D07">
        <w:rPr>
          <w:rFonts w:ascii="Calibri" w:eastAsia="Calibri" w:hAnsi="Calibri" w:cs="Times New Roman"/>
          <w:b/>
          <w:bCs/>
          <w:color w:val="FF0000"/>
        </w:rPr>
        <w:t>m</w:t>
      </w:r>
      <w:r>
        <w:rPr>
          <w:rFonts w:ascii="Calibri" w:eastAsia="Calibri" w:hAnsi="Calibri" w:cs="Times New Roman"/>
          <w:b/>
          <w:bCs/>
          <w:color w:val="FF0000"/>
        </w:rPr>
        <w:t>etres,</w:t>
      </w:r>
      <w:r w:rsidR="00C64BA4" w:rsidRPr="00F82D07">
        <w:rPr>
          <w:rFonts w:ascii="Calibri" w:eastAsia="Calibri" w:hAnsi="Calibri" w:cs="Times New Roman"/>
          <w:b/>
          <w:bCs/>
          <w:color w:val="FF0000"/>
        </w:rPr>
        <w:t xml:space="preserve"> </w:t>
      </w:r>
      <w:r>
        <w:rPr>
          <w:rFonts w:ascii="Calibri" w:eastAsia="Calibri" w:hAnsi="Calibri" w:cs="Times New Roman"/>
          <w:b/>
          <w:bCs/>
          <w:color w:val="FF0000"/>
        </w:rPr>
        <w:t xml:space="preserve">should focus </w:t>
      </w:r>
      <w:r w:rsidR="00C64BA4" w:rsidRPr="00F82D07">
        <w:rPr>
          <w:rFonts w:ascii="Calibri" w:eastAsia="Calibri" w:hAnsi="Calibri" w:cs="Times New Roman"/>
          <w:b/>
          <w:bCs/>
          <w:color w:val="FF0000"/>
        </w:rPr>
        <w:t>on the external cladding, not the structural wall itself.</w:t>
      </w:r>
    </w:p>
    <w:p w14:paraId="247F2D54" w14:textId="7A68BBBE" w:rsidR="00C64BA4" w:rsidRPr="00F82D07" w:rsidRDefault="00C64BA4" w:rsidP="00C64BA4">
      <w:pPr>
        <w:rPr>
          <w:rFonts w:ascii="Calibri" w:eastAsia="Calibri" w:hAnsi="Calibri" w:cs="Times New Roman"/>
        </w:rPr>
      </w:pPr>
      <w:r w:rsidRPr="00F82D07">
        <w:rPr>
          <w:rFonts w:ascii="Calibri" w:eastAsia="Calibri" w:hAnsi="Calibri" w:cs="Times New Roman"/>
        </w:rPr>
        <w:t>Making such a change to the ban would also bring us into line with regulations in Scotland, which banned combustible cladding above 11 metres, but do not include the structural wall in the scope of the ban.</w:t>
      </w:r>
    </w:p>
    <w:p w14:paraId="3DFAC7B5" w14:textId="77777777" w:rsidR="00C64BA4" w:rsidRPr="00F82D07" w:rsidRDefault="00C64BA4" w:rsidP="00C64BA4">
      <w:pPr>
        <w:rPr>
          <w:rFonts w:ascii="Calibri" w:eastAsia="Calibri" w:hAnsi="Calibri" w:cs="Times New Roman"/>
        </w:rPr>
      </w:pPr>
      <w:r w:rsidRPr="00F82D07">
        <w:rPr>
          <w:rFonts w:ascii="Calibri" w:eastAsia="Calibri" w:hAnsi="Calibri" w:cs="Times New Roman"/>
        </w:rPr>
        <w:lastRenderedPageBreak/>
        <w:t>One of the concerns which emerged from the Grenfell Tower Fire was how quickly flames were able to spread across the surface of the building. This occurred due to the external combustible cladding and was not related to the structural walls.</w:t>
      </w:r>
    </w:p>
    <w:p w14:paraId="58CC3C93" w14:textId="77777777" w:rsidR="00C64BA4" w:rsidRDefault="00C64BA4" w:rsidP="00C64BA4">
      <w:pPr>
        <w:rPr>
          <w:rFonts w:ascii="Calibri" w:eastAsia="Calibri" w:hAnsi="Calibri" w:cs="Times New Roman"/>
        </w:rPr>
      </w:pPr>
      <w:r w:rsidRPr="00F82D07">
        <w:rPr>
          <w:rFonts w:ascii="Calibri" w:eastAsia="Calibri" w:hAnsi="Calibri" w:cs="Times New Roman"/>
        </w:rPr>
        <w:t>There is no evidence that structural walls pose the same fire risk as the external cladding, and so there is no justification for treating the two in the same way.</w:t>
      </w:r>
    </w:p>
    <w:p w14:paraId="2E3CBABB" w14:textId="4FC5A819" w:rsidR="00C64BA4" w:rsidRPr="00F82D07" w:rsidRDefault="00C64BA4" w:rsidP="00C64BA4">
      <w:pPr>
        <w:rPr>
          <w:rFonts w:ascii="Calibri" w:eastAsia="Calibri" w:hAnsi="Calibri" w:cs="Times New Roman"/>
        </w:rPr>
      </w:pPr>
      <w:r w:rsidRPr="00F82D07">
        <w:rPr>
          <w:rFonts w:ascii="Calibri" w:eastAsia="Calibri" w:hAnsi="Calibri" w:cs="Times New Roman"/>
          <w:b/>
          <w:bCs/>
          <w:color w:val="FF0000"/>
        </w:rPr>
        <w:t>When specified and installed correctly, timber cladding is a safe, sustainable</w:t>
      </w:r>
      <w:r w:rsidR="0008471D">
        <w:rPr>
          <w:rFonts w:ascii="Calibri" w:eastAsia="Calibri" w:hAnsi="Calibri" w:cs="Times New Roman"/>
          <w:b/>
          <w:bCs/>
          <w:color w:val="FF0000"/>
        </w:rPr>
        <w:t xml:space="preserve">, </w:t>
      </w:r>
      <w:r w:rsidRPr="00F82D07">
        <w:rPr>
          <w:rFonts w:ascii="Calibri" w:eastAsia="Calibri" w:hAnsi="Calibri" w:cs="Times New Roman"/>
          <w:b/>
          <w:bCs/>
          <w:color w:val="FF0000"/>
        </w:rPr>
        <w:t>popular</w:t>
      </w:r>
      <w:r w:rsidR="0008471D">
        <w:rPr>
          <w:rFonts w:ascii="Calibri" w:eastAsia="Calibri" w:hAnsi="Calibri" w:cs="Times New Roman"/>
          <w:b/>
          <w:bCs/>
          <w:color w:val="FF0000"/>
        </w:rPr>
        <w:t xml:space="preserve"> and </w:t>
      </w:r>
      <w:r w:rsidRPr="00F82D07">
        <w:rPr>
          <w:rFonts w:ascii="Calibri" w:eastAsia="Calibri" w:hAnsi="Calibri" w:cs="Times New Roman"/>
          <w:b/>
          <w:bCs/>
          <w:color w:val="FF0000"/>
        </w:rPr>
        <w:t>practical solution for many building types. The Government should recognise this by issuing a statement on buildings below 11 metres</w:t>
      </w:r>
      <w:r w:rsidR="00313F30">
        <w:rPr>
          <w:rFonts w:ascii="Calibri" w:eastAsia="Calibri" w:hAnsi="Calibri" w:cs="Times New Roman"/>
          <w:b/>
          <w:bCs/>
          <w:color w:val="FF0000"/>
        </w:rPr>
        <w:t xml:space="preserve"> in height</w:t>
      </w:r>
      <w:r w:rsidRPr="00F82D07">
        <w:rPr>
          <w:rFonts w:ascii="Calibri" w:eastAsia="Calibri" w:hAnsi="Calibri" w:cs="Times New Roman"/>
          <w:b/>
          <w:bCs/>
          <w:color w:val="FF0000"/>
        </w:rPr>
        <w:t xml:space="preserve">. </w:t>
      </w:r>
    </w:p>
    <w:p w14:paraId="6AD45DEA" w14:textId="77777777" w:rsidR="00C64BA4" w:rsidRPr="00F82D07" w:rsidRDefault="00C64BA4" w:rsidP="00C64BA4">
      <w:pPr>
        <w:rPr>
          <w:rFonts w:ascii="Calibri" w:eastAsia="Calibri" w:hAnsi="Calibri" w:cs="Times New Roman"/>
        </w:rPr>
      </w:pPr>
      <w:r w:rsidRPr="00F82D07">
        <w:rPr>
          <w:rFonts w:ascii="Calibri" w:eastAsia="Calibri" w:hAnsi="Calibri" w:cs="Times New Roman"/>
        </w:rPr>
        <w:t>The timber industry recognises that high rise buildings need additional safety measures, and has supported the use of non-combustible cladding in category A or A1 above 18 metres. The extension of a ban on the use of combustible materials on external walls down to 11 metres we can accept, however the Government must look beyond height and issue clarity for the industry as a whole.</w:t>
      </w:r>
    </w:p>
    <w:p w14:paraId="7023CCDF" w14:textId="0CB4AE74" w:rsidR="00C64BA4" w:rsidRPr="00F82D07" w:rsidRDefault="00C64BA4" w:rsidP="00C64BA4">
      <w:pPr>
        <w:rPr>
          <w:rFonts w:ascii="Calibri" w:eastAsia="Calibri" w:hAnsi="Calibri" w:cs="Times New Roman"/>
          <w:b/>
          <w:bCs/>
          <w:color w:val="FF0000"/>
        </w:rPr>
      </w:pPr>
      <w:r w:rsidRPr="00F82D07">
        <w:rPr>
          <w:rFonts w:ascii="Calibri" w:eastAsia="Calibri" w:hAnsi="Calibri" w:cs="Times New Roman"/>
          <w:b/>
          <w:bCs/>
          <w:color w:val="FF0000"/>
        </w:rPr>
        <w:t>The best way that the Government could achieve a safer building system is by introducing mandatory, comprehensive fire-risk assessments during the design process for buildings such as high</w:t>
      </w:r>
      <w:r w:rsidR="00313F30">
        <w:rPr>
          <w:rFonts w:ascii="Calibri" w:eastAsia="Calibri" w:hAnsi="Calibri" w:cs="Times New Roman"/>
          <w:b/>
          <w:bCs/>
          <w:color w:val="FF0000"/>
        </w:rPr>
        <w:t>-</w:t>
      </w:r>
      <w:r w:rsidRPr="00F82D07">
        <w:rPr>
          <w:rFonts w:ascii="Calibri" w:eastAsia="Calibri" w:hAnsi="Calibri" w:cs="Times New Roman"/>
          <w:b/>
          <w:bCs/>
          <w:color w:val="FF0000"/>
        </w:rPr>
        <w:t>rise</w:t>
      </w:r>
      <w:r w:rsidR="00313F30">
        <w:rPr>
          <w:rFonts w:ascii="Calibri" w:eastAsia="Calibri" w:hAnsi="Calibri" w:cs="Times New Roman"/>
          <w:b/>
          <w:bCs/>
          <w:color w:val="FF0000"/>
        </w:rPr>
        <w:t>s</w:t>
      </w:r>
      <w:r w:rsidRPr="00F82D07">
        <w:rPr>
          <w:rFonts w:ascii="Calibri" w:eastAsia="Calibri" w:hAnsi="Calibri" w:cs="Times New Roman"/>
          <w:b/>
          <w:bCs/>
          <w:color w:val="FF0000"/>
        </w:rPr>
        <w:t>, communit</w:t>
      </w:r>
      <w:r w:rsidR="00313F30">
        <w:rPr>
          <w:rFonts w:ascii="Calibri" w:eastAsia="Calibri" w:hAnsi="Calibri" w:cs="Times New Roman"/>
          <w:b/>
          <w:bCs/>
          <w:color w:val="FF0000"/>
        </w:rPr>
        <w:t>y centres</w:t>
      </w:r>
      <w:r w:rsidRPr="00F82D07">
        <w:rPr>
          <w:rFonts w:ascii="Calibri" w:eastAsia="Calibri" w:hAnsi="Calibri" w:cs="Times New Roman"/>
          <w:b/>
          <w:bCs/>
          <w:color w:val="FF0000"/>
        </w:rPr>
        <w:t xml:space="preserve"> and schools.</w:t>
      </w:r>
    </w:p>
    <w:p w14:paraId="28777263" w14:textId="2BCEF4CF" w:rsidR="00C64BA4" w:rsidRPr="00F82D07" w:rsidRDefault="00C64BA4" w:rsidP="00C64BA4">
      <w:pPr>
        <w:rPr>
          <w:rFonts w:ascii="Calibri" w:eastAsia="Calibri" w:hAnsi="Calibri" w:cs="Times New Roman"/>
        </w:rPr>
      </w:pPr>
      <w:r w:rsidRPr="00F82D07">
        <w:rPr>
          <w:rFonts w:ascii="Calibri" w:eastAsia="Calibri" w:hAnsi="Calibri" w:cs="Times New Roman"/>
        </w:rPr>
        <w:t>An independent, professional fire risk assessment that considers building design, use, materials and location is essential at the design stage for multi-occupancy and assembly buildings regardless of height. As the Government recognises, height is only one, limited</w:t>
      </w:r>
      <w:r w:rsidR="0008471D">
        <w:rPr>
          <w:rFonts w:ascii="Calibri" w:eastAsia="Calibri" w:hAnsi="Calibri" w:cs="Times New Roman"/>
        </w:rPr>
        <w:t>,</w:t>
      </w:r>
      <w:r w:rsidRPr="00F82D07">
        <w:rPr>
          <w:rFonts w:ascii="Calibri" w:eastAsia="Calibri" w:hAnsi="Calibri" w:cs="Times New Roman"/>
        </w:rPr>
        <w:t xml:space="preserve"> factor to be considered. </w:t>
      </w:r>
    </w:p>
    <w:p w14:paraId="096BFEAF" w14:textId="3084FCB9" w:rsidR="00C64BA4" w:rsidRDefault="00C64BA4" w:rsidP="00C64BA4">
      <w:pPr>
        <w:rPr>
          <w:rFonts w:ascii="Calibri" w:eastAsia="Calibri" w:hAnsi="Calibri" w:cs="Times New Roman"/>
        </w:rPr>
      </w:pPr>
      <w:r w:rsidRPr="00F82D07">
        <w:rPr>
          <w:rFonts w:ascii="Calibri" w:eastAsia="Calibri" w:hAnsi="Calibri" w:cs="Times New Roman"/>
        </w:rPr>
        <w:t>This principle of risk assessment has been embodied in the Construction Design and Management Regulations for some years and has recently been reinforced by MHCLG in a circular letter to Building Control in England and Wales. This principle needs to be extended and rigorously enforced.</w:t>
      </w:r>
    </w:p>
    <w:p w14:paraId="61E22932" w14:textId="63CC8A6E" w:rsidR="00C64BA4" w:rsidRDefault="00C64BA4" w:rsidP="00C64BA4">
      <w:pPr>
        <w:rPr>
          <w:rFonts w:ascii="Calibri" w:eastAsia="Calibri" w:hAnsi="Calibri" w:cs="Times New Roman"/>
        </w:rPr>
      </w:pPr>
      <w:r w:rsidRPr="00F82D07">
        <w:rPr>
          <w:rFonts w:ascii="Calibri" w:eastAsia="Calibri" w:hAnsi="Calibri" w:cs="Times New Roman"/>
        </w:rPr>
        <w:t>We support stronger enforcement in the form of a new Building Safety Regulator, and the introduction of mandatory sprinklers, two escape stairs, and other fire safety components into high rise buildings, unless shown to be unnecessary by a comprehensive fire risk assessment.</w:t>
      </w:r>
    </w:p>
    <w:p w14:paraId="3E3E72CB" w14:textId="02F66135" w:rsidR="00620179" w:rsidRPr="00C64BA4" w:rsidRDefault="00AD6706" w:rsidP="00C64BA4">
      <w:pPr>
        <w:rPr>
          <w:rFonts w:ascii="Calibri" w:eastAsia="Calibri" w:hAnsi="Calibri" w:cs="Times New Roman"/>
        </w:rPr>
      </w:pPr>
      <w:r>
        <w:t xml:space="preserve">We also advocate for </w:t>
      </w:r>
      <w:r w:rsidR="00FB1FA2">
        <w:t>a ‘</w:t>
      </w:r>
      <w:r>
        <w:t>lock down</w:t>
      </w:r>
      <w:r w:rsidR="00FB1FA2">
        <w:t>’</w:t>
      </w:r>
      <w:r>
        <w:t xml:space="preserve"> </w:t>
      </w:r>
      <w:r w:rsidR="00FB1FA2">
        <w:t xml:space="preserve">in </w:t>
      </w:r>
      <w:r>
        <w:t>specification b</w:t>
      </w:r>
      <w:r w:rsidR="00620179">
        <w:t xml:space="preserve">etween the design and construction </w:t>
      </w:r>
      <w:r w:rsidR="0053183B">
        <w:t>phases</w:t>
      </w:r>
      <w:r w:rsidR="00AF17E1">
        <w:t xml:space="preserve"> </w:t>
      </w:r>
      <w:r w:rsidR="00FB1FA2">
        <w:t>to ensure that</w:t>
      </w:r>
      <w:r w:rsidR="003C33A0">
        <w:t xml:space="preserve"> </w:t>
      </w:r>
      <w:r w:rsidR="00CB1B29">
        <w:t xml:space="preserve">the use of </w:t>
      </w:r>
      <w:r w:rsidR="00EB36B3">
        <w:t>materials, the scope of work, installation</w:t>
      </w:r>
      <w:r w:rsidR="000A1792">
        <w:t>,</w:t>
      </w:r>
      <w:r w:rsidR="00EB36B3">
        <w:t xml:space="preserve"> and </w:t>
      </w:r>
      <w:r w:rsidR="000A1792">
        <w:t xml:space="preserve">other </w:t>
      </w:r>
      <w:r w:rsidR="000905A0">
        <w:t xml:space="preserve">aspects of </w:t>
      </w:r>
      <w:r w:rsidR="00620179">
        <w:t>fire design are not diluted or lost</w:t>
      </w:r>
      <w:r w:rsidR="00CF468B">
        <w:t xml:space="preserve"> </w:t>
      </w:r>
      <w:r w:rsidR="001A0DEC">
        <w:t>during the</w:t>
      </w:r>
      <w:r w:rsidR="00E443DA">
        <w:t xml:space="preserve"> </w:t>
      </w:r>
      <w:r w:rsidR="00CF468B">
        <w:t>project</w:t>
      </w:r>
      <w:r w:rsidR="001A0DEC">
        <w:t xml:space="preserve"> journey</w:t>
      </w:r>
      <w:r w:rsidR="00620179">
        <w:t>.</w:t>
      </w:r>
      <w:r w:rsidR="00F50DF2">
        <w:t xml:space="preserve"> </w:t>
      </w:r>
    </w:p>
    <w:p w14:paraId="3C534339" w14:textId="77777777" w:rsidR="00C64BA4" w:rsidRPr="00F82D07" w:rsidRDefault="00C64BA4" w:rsidP="00C64BA4">
      <w:pPr>
        <w:rPr>
          <w:rFonts w:ascii="Calibri" w:eastAsia="Calibri" w:hAnsi="Calibri" w:cs="Times New Roman"/>
          <w:b/>
          <w:bCs/>
        </w:rPr>
      </w:pPr>
      <w:r w:rsidRPr="00F82D07">
        <w:rPr>
          <w:rFonts w:ascii="Calibri" w:eastAsia="Calibri" w:hAnsi="Calibri" w:cs="Times New Roman"/>
          <w:b/>
          <w:bCs/>
        </w:rPr>
        <w:t>To make buildings safer, we recommend Government…</w:t>
      </w:r>
    </w:p>
    <w:p w14:paraId="70CC8495" w14:textId="595944DC" w:rsidR="00C64BA4" w:rsidRPr="002B2953" w:rsidRDefault="00C64BA4" w:rsidP="00C64BA4">
      <w:pPr>
        <w:rPr>
          <w:rFonts w:ascii="Calibri" w:eastAsia="Calibri" w:hAnsi="Calibri" w:cs="Times New Roman"/>
          <w:b/>
          <w:bCs/>
        </w:rPr>
      </w:pPr>
      <w:r w:rsidRPr="002B2953">
        <w:rPr>
          <w:rFonts w:ascii="Calibri" w:eastAsia="Calibri" w:hAnsi="Calibri" w:cs="Times New Roman"/>
          <w:b/>
          <w:bCs/>
        </w:rPr>
        <w:t xml:space="preserve">Focus the ban on combustible cladding above 11 metres. </w:t>
      </w:r>
      <w:r w:rsidRPr="002B2953">
        <w:rPr>
          <w:rFonts w:ascii="Calibri" w:eastAsia="Calibri" w:hAnsi="Calibri" w:cs="Times New Roman"/>
        </w:rPr>
        <w:t>This will provide the clarity needed for designers and specifiers to build better and safer.</w:t>
      </w:r>
      <w:r w:rsidRPr="002B2953">
        <w:rPr>
          <w:rFonts w:ascii="Calibri" w:eastAsia="Calibri" w:hAnsi="Calibri" w:cs="Times New Roman"/>
          <w:b/>
          <w:bCs/>
        </w:rPr>
        <w:t xml:space="preserve"> </w:t>
      </w:r>
    </w:p>
    <w:p w14:paraId="3C9A5737" w14:textId="50B389E2" w:rsidR="00C64BA4" w:rsidRPr="002B2953" w:rsidRDefault="00C64BA4" w:rsidP="00C64BA4">
      <w:pPr>
        <w:rPr>
          <w:rFonts w:ascii="Calibri" w:eastAsia="Calibri" w:hAnsi="Calibri" w:cs="Times New Roman"/>
          <w:b/>
          <w:bCs/>
        </w:rPr>
      </w:pPr>
      <w:r w:rsidRPr="002B2953">
        <w:rPr>
          <w:rFonts w:ascii="Calibri" w:eastAsia="Calibri" w:hAnsi="Calibri" w:cs="Times New Roman"/>
          <w:b/>
          <w:bCs/>
        </w:rPr>
        <w:t>Take a scienti</w:t>
      </w:r>
      <w:r>
        <w:rPr>
          <w:rFonts w:ascii="Calibri" w:eastAsia="Calibri" w:hAnsi="Calibri" w:cs="Times New Roman"/>
          <w:b/>
          <w:bCs/>
        </w:rPr>
        <w:t>fic, evidence</w:t>
      </w:r>
      <w:r w:rsidRPr="002B2953">
        <w:rPr>
          <w:rFonts w:ascii="Calibri" w:eastAsia="Calibri" w:hAnsi="Calibri" w:cs="Times New Roman"/>
          <w:b/>
          <w:bCs/>
        </w:rPr>
        <w:t xml:space="preserve">-based approach. </w:t>
      </w:r>
      <w:r w:rsidRPr="002B2953">
        <w:rPr>
          <w:rFonts w:ascii="Calibri" w:eastAsia="Calibri" w:hAnsi="Calibri" w:cs="Times New Roman"/>
        </w:rPr>
        <w:t>Use BS8414 as the base for fire safety compliance, which was found to still be fit for purpose in the Hackitt Review.</w:t>
      </w:r>
    </w:p>
    <w:p w14:paraId="0810BC1D" w14:textId="220DDCCA" w:rsidR="00C64BA4" w:rsidRDefault="00C64BA4" w:rsidP="00C64BA4">
      <w:pPr>
        <w:rPr>
          <w:rFonts w:ascii="Calibri" w:eastAsia="Calibri" w:hAnsi="Calibri" w:cs="Times New Roman"/>
        </w:rPr>
      </w:pPr>
      <w:r w:rsidRPr="2E1CD322">
        <w:rPr>
          <w:rFonts w:ascii="Calibri" w:eastAsia="Calibri" w:hAnsi="Calibri" w:cs="Times New Roman"/>
          <w:b/>
          <w:bCs/>
        </w:rPr>
        <w:t xml:space="preserve">Align the combustibles material ban to the Scottish approach. </w:t>
      </w:r>
      <w:r w:rsidRPr="2E1CD322">
        <w:rPr>
          <w:rFonts w:ascii="Calibri" w:eastAsia="Calibri" w:hAnsi="Calibri" w:cs="Times New Roman"/>
        </w:rPr>
        <w:t xml:space="preserve">This will create a common regulatory approach to combustible </w:t>
      </w:r>
      <w:r w:rsidR="0F868C82" w:rsidRPr="2E1CD322">
        <w:rPr>
          <w:rFonts w:ascii="Calibri" w:eastAsia="Calibri" w:hAnsi="Calibri" w:cs="Times New Roman"/>
        </w:rPr>
        <w:t xml:space="preserve">material </w:t>
      </w:r>
      <w:r w:rsidRPr="2E1CD322">
        <w:rPr>
          <w:rFonts w:ascii="Calibri" w:eastAsia="Calibri" w:hAnsi="Calibri" w:cs="Times New Roman"/>
        </w:rPr>
        <w:t>throughout the UK improving clarity and safety</w:t>
      </w:r>
      <w:r w:rsidRPr="2E1CD322">
        <w:rPr>
          <w:rFonts w:ascii="Calibri" w:eastAsia="Calibri" w:hAnsi="Calibri" w:cs="Times New Roman"/>
          <w:b/>
          <w:bCs/>
        </w:rPr>
        <w:t>.</w:t>
      </w:r>
    </w:p>
    <w:p w14:paraId="7CB205A9" w14:textId="77777777" w:rsidR="00C64BA4" w:rsidRPr="00C64BA4" w:rsidRDefault="00C64BA4" w:rsidP="00C64BA4">
      <w:pPr>
        <w:rPr>
          <w:b/>
          <w:bCs/>
          <w:sz w:val="24"/>
          <w:szCs w:val="24"/>
        </w:rPr>
      </w:pPr>
    </w:p>
    <w:sectPr w:rsidR="00C64BA4" w:rsidRPr="00C64BA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D9BEC9" w14:textId="77777777" w:rsidR="000E23D1" w:rsidRDefault="000E23D1" w:rsidP="003F77B5">
      <w:pPr>
        <w:spacing w:after="0" w:line="240" w:lineRule="auto"/>
      </w:pPr>
      <w:r>
        <w:separator/>
      </w:r>
    </w:p>
  </w:endnote>
  <w:endnote w:type="continuationSeparator" w:id="0">
    <w:p w14:paraId="6AFDF6C3" w14:textId="77777777" w:rsidR="000E23D1" w:rsidRDefault="000E23D1" w:rsidP="003F7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Grande">
    <w:altName w:val="Segoe UI"/>
    <w:charset w:val="00"/>
    <w:family w:val="auto"/>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825B7E" w14:textId="77777777" w:rsidR="000E23D1" w:rsidRDefault="000E23D1" w:rsidP="003F77B5">
      <w:pPr>
        <w:spacing w:after="0" w:line="240" w:lineRule="auto"/>
      </w:pPr>
      <w:r>
        <w:separator/>
      </w:r>
    </w:p>
  </w:footnote>
  <w:footnote w:type="continuationSeparator" w:id="0">
    <w:p w14:paraId="3F122265" w14:textId="77777777" w:rsidR="000E23D1" w:rsidRDefault="000E23D1" w:rsidP="003F77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330A26"/>
    <w:multiLevelType w:val="hybridMultilevel"/>
    <w:tmpl w:val="8D34A2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4F2057"/>
    <w:multiLevelType w:val="hybridMultilevel"/>
    <w:tmpl w:val="C5B06AE0"/>
    <w:lvl w:ilvl="0" w:tplc="CBC6E7A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5A36C1"/>
    <w:multiLevelType w:val="hybridMultilevel"/>
    <w:tmpl w:val="7CB842E8"/>
    <w:lvl w:ilvl="0" w:tplc="CBC6E7A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1F61C5"/>
    <w:multiLevelType w:val="hybridMultilevel"/>
    <w:tmpl w:val="066EFE2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9147F9"/>
    <w:multiLevelType w:val="hybridMultilevel"/>
    <w:tmpl w:val="87064FE4"/>
    <w:lvl w:ilvl="0" w:tplc="E54C0FE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7B5"/>
    <w:rsid w:val="00010CA0"/>
    <w:rsid w:val="0008471D"/>
    <w:rsid w:val="000905A0"/>
    <w:rsid w:val="000966D5"/>
    <w:rsid w:val="000A1792"/>
    <w:rsid w:val="000C6A8A"/>
    <w:rsid w:val="000E23D1"/>
    <w:rsid w:val="00136993"/>
    <w:rsid w:val="00140BBE"/>
    <w:rsid w:val="00193C89"/>
    <w:rsid w:val="001A0DEC"/>
    <w:rsid w:val="001F5F45"/>
    <w:rsid w:val="00211196"/>
    <w:rsid w:val="00242D8B"/>
    <w:rsid w:val="002524E2"/>
    <w:rsid w:val="00313F30"/>
    <w:rsid w:val="0031434B"/>
    <w:rsid w:val="00385AF9"/>
    <w:rsid w:val="003C33A0"/>
    <w:rsid w:val="003F77B5"/>
    <w:rsid w:val="004830C2"/>
    <w:rsid w:val="0053183B"/>
    <w:rsid w:val="005A7537"/>
    <w:rsid w:val="00616BD3"/>
    <w:rsid w:val="00617652"/>
    <w:rsid w:val="00620179"/>
    <w:rsid w:val="00632BAD"/>
    <w:rsid w:val="006532ED"/>
    <w:rsid w:val="00766542"/>
    <w:rsid w:val="008600CE"/>
    <w:rsid w:val="00881786"/>
    <w:rsid w:val="00951E06"/>
    <w:rsid w:val="009C7A98"/>
    <w:rsid w:val="00AD6706"/>
    <w:rsid w:val="00AF17E1"/>
    <w:rsid w:val="00BE0E96"/>
    <w:rsid w:val="00BF7344"/>
    <w:rsid w:val="00C64BA4"/>
    <w:rsid w:val="00CB1B29"/>
    <w:rsid w:val="00CF468B"/>
    <w:rsid w:val="00DF012B"/>
    <w:rsid w:val="00E443DA"/>
    <w:rsid w:val="00E842E4"/>
    <w:rsid w:val="00E9385D"/>
    <w:rsid w:val="00EA0029"/>
    <w:rsid w:val="00EB36B3"/>
    <w:rsid w:val="00F42D09"/>
    <w:rsid w:val="00F50DF2"/>
    <w:rsid w:val="00F55DD7"/>
    <w:rsid w:val="00FB12D3"/>
    <w:rsid w:val="00FB1FA2"/>
    <w:rsid w:val="00FC5CBD"/>
    <w:rsid w:val="04E85AFA"/>
    <w:rsid w:val="08F0702C"/>
    <w:rsid w:val="0D281557"/>
    <w:rsid w:val="0F36DFAE"/>
    <w:rsid w:val="0F868C82"/>
    <w:rsid w:val="1066A780"/>
    <w:rsid w:val="152BA487"/>
    <w:rsid w:val="19A06B12"/>
    <w:rsid w:val="1A50EAE6"/>
    <w:rsid w:val="1AD36DBA"/>
    <w:rsid w:val="1C79B1D9"/>
    <w:rsid w:val="206D828E"/>
    <w:rsid w:val="2B3051AB"/>
    <w:rsid w:val="2B97FE77"/>
    <w:rsid w:val="2C1CF884"/>
    <w:rsid w:val="2E1CD322"/>
    <w:rsid w:val="309224CB"/>
    <w:rsid w:val="3232DB38"/>
    <w:rsid w:val="3359C84D"/>
    <w:rsid w:val="372EF41B"/>
    <w:rsid w:val="374F252E"/>
    <w:rsid w:val="3ABB0546"/>
    <w:rsid w:val="3B3BA2DE"/>
    <w:rsid w:val="3DA0CA20"/>
    <w:rsid w:val="3F7F4DD8"/>
    <w:rsid w:val="3FBF99B7"/>
    <w:rsid w:val="3FFB4777"/>
    <w:rsid w:val="42BBB7E2"/>
    <w:rsid w:val="42DB68F0"/>
    <w:rsid w:val="44710DFC"/>
    <w:rsid w:val="45886719"/>
    <w:rsid w:val="4B14F77E"/>
    <w:rsid w:val="4ED9CACF"/>
    <w:rsid w:val="50287B2F"/>
    <w:rsid w:val="5064BC24"/>
    <w:rsid w:val="50BBA737"/>
    <w:rsid w:val="5178032C"/>
    <w:rsid w:val="51D30F13"/>
    <w:rsid w:val="52D9BC49"/>
    <w:rsid w:val="52E9BD95"/>
    <w:rsid w:val="54ACCFF1"/>
    <w:rsid w:val="56E5C320"/>
    <w:rsid w:val="57A23877"/>
    <w:rsid w:val="5BB718B2"/>
    <w:rsid w:val="6092A440"/>
    <w:rsid w:val="6128535A"/>
    <w:rsid w:val="6751F857"/>
    <w:rsid w:val="6D265364"/>
    <w:rsid w:val="6DECDFF9"/>
    <w:rsid w:val="70E24FA4"/>
    <w:rsid w:val="743346EC"/>
    <w:rsid w:val="74852B59"/>
    <w:rsid w:val="7B5BF2F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F8DEAC"/>
  <w15:docId w15:val="{6F3A80AB-DAFD-4956-89A6-9FCFA6B7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7B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77B5"/>
  </w:style>
  <w:style w:type="paragraph" w:styleId="Footer">
    <w:name w:val="footer"/>
    <w:basedOn w:val="Normal"/>
    <w:link w:val="FooterChar"/>
    <w:uiPriority w:val="99"/>
    <w:unhideWhenUsed/>
    <w:rsid w:val="003F77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77B5"/>
  </w:style>
  <w:style w:type="paragraph" w:styleId="ListParagraph">
    <w:name w:val="List Paragraph"/>
    <w:basedOn w:val="Normal"/>
    <w:uiPriority w:val="34"/>
    <w:qFormat/>
    <w:rsid w:val="003F77B5"/>
    <w:pPr>
      <w:ind w:left="720"/>
      <w:contextualSpacing/>
    </w:pPr>
  </w:style>
  <w:style w:type="character" w:styleId="Hyperlink">
    <w:name w:val="Hyperlink"/>
    <w:basedOn w:val="DefaultParagraphFont"/>
    <w:uiPriority w:val="99"/>
    <w:unhideWhenUsed/>
    <w:rsid w:val="00F42D09"/>
    <w:rPr>
      <w:color w:val="0563C1" w:themeColor="hyperlink"/>
      <w:u w:val="single"/>
    </w:rPr>
  </w:style>
  <w:style w:type="character" w:customStyle="1" w:styleId="UnresolvedMention1">
    <w:name w:val="Unresolved Mention1"/>
    <w:basedOn w:val="DefaultParagraphFont"/>
    <w:uiPriority w:val="99"/>
    <w:semiHidden/>
    <w:unhideWhenUsed/>
    <w:rsid w:val="00F42D09"/>
    <w:rPr>
      <w:color w:val="605E5C"/>
      <w:shd w:val="clear" w:color="auto" w:fill="E1DFDD"/>
    </w:rPr>
  </w:style>
  <w:style w:type="paragraph" w:customStyle="1" w:styleId="TableParagraph">
    <w:name w:val="Table Paragraph"/>
    <w:basedOn w:val="Normal"/>
    <w:uiPriority w:val="1"/>
    <w:qFormat/>
    <w:rsid w:val="00C64BA4"/>
    <w:pPr>
      <w:widowControl w:val="0"/>
      <w:autoSpaceDE w:val="0"/>
      <w:autoSpaceDN w:val="0"/>
      <w:spacing w:after="0" w:line="240" w:lineRule="auto"/>
      <w:ind w:left="6"/>
    </w:pPr>
    <w:rPr>
      <w:rFonts w:ascii="Arial" w:eastAsia="Arial" w:hAnsi="Arial" w:cs="Arial"/>
      <w:lang w:eastAsia="en-GB" w:bidi="en-GB"/>
    </w:rPr>
  </w:style>
  <w:style w:type="paragraph" w:styleId="BalloonText">
    <w:name w:val="Balloon Text"/>
    <w:basedOn w:val="Normal"/>
    <w:link w:val="BalloonTextChar"/>
    <w:uiPriority w:val="99"/>
    <w:semiHidden/>
    <w:unhideWhenUsed/>
    <w:rsid w:val="0008471D"/>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8471D"/>
    <w:rPr>
      <w:rFonts w:ascii="Lucida Grande" w:hAnsi="Lucida Grande" w:cs="Lucida Grande"/>
      <w:sz w:val="18"/>
      <w:szCs w:val="18"/>
    </w:rPr>
  </w:style>
  <w:style w:type="character" w:styleId="UnresolvedMention">
    <w:name w:val="Unresolved Mention"/>
    <w:basedOn w:val="DefaultParagraphFont"/>
    <w:uiPriority w:val="99"/>
    <w:semiHidden/>
    <w:unhideWhenUsed/>
    <w:rsid w:val="006176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consultations/review-of-the-ban-on-the-use-of-combustible-materials-in-and-on-the-external-walls-of-buildings" TargetMode="External"/><Relationship Id="rId5" Type="http://schemas.openxmlformats.org/officeDocument/2006/relationships/styles" Target="styles.xml"/><Relationship Id="rId10" Type="http://schemas.openxmlformats.org/officeDocument/2006/relationships/hyperlink" Target="mailto:ADBconsultation@communities.gov.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9AB7C28AAE654B9965711899BBB2C4" ma:contentTypeVersion="4" ma:contentTypeDescription="Create a new document." ma:contentTypeScope="" ma:versionID="a22ec0c5c0e48360679cba0db79bbb75">
  <xsd:schema xmlns:xsd="http://www.w3.org/2001/XMLSchema" xmlns:xs="http://www.w3.org/2001/XMLSchema" xmlns:p="http://schemas.microsoft.com/office/2006/metadata/properties" xmlns:ns2="2d9b249d-81dd-407a-babd-2ef9d6e02f91" targetNamespace="http://schemas.microsoft.com/office/2006/metadata/properties" ma:root="true" ma:fieldsID="ce06acb1835de911af4af4904593eb29" ns2:_="">
    <xsd:import namespace="2d9b249d-81dd-407a-babd-2ef9d6e02f9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b249d-81dd-407a-babd-2ef9d6e02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0FEBF7-3665-4A5A-B084-78BE3EE0C20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9D9BA3B-A4A0-4FE4-9EEE-FDAFFA16F6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b249d-81dd-407a-babd-2ef9d6e02f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2363D5-996C-43EA-8982-717127B706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2245</Words>
  <Characters>12798</Characters>
  <Application>Microsoft Office Word</Application>
  <DocSecurity>0</DocSecurity>
  <Lines>106</Lines>
  <Paragraphs>30</Paragraphs>
  <ScaleCrop>false</ScaleCrop>
  <Company/>
  <LinksUpToDate>false</LinksUpToDate>
  <CharactersWithSpaces>15013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Macandrew</dc:creator>
  <cp:keywords/>
  <dc:description/>
  <cp:lastModifiedBy>Liam Macandrew</cp:lastModifiedBy>
  <cp:revision>2</cp:revision>
  <dcterms:created xsi:type="dcterms:W3CDTF">2020-04-03T16:12:00Z</dcterms:created>
  <dcterms:modified xsi:type="dcterms:W3CDTF">2020-04-03T16:12:00Z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0x010100F79AB7C28AAE654B9965711899BBB2C4</vt:lpwstr>
  </property>
</Properties>
</file>